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5139C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78"/>
        <w:gridCol w:w="5036"/>
        <w:gridCol w:w="1559"/>
      </w:tblGrid>
      <w:tr w:rsidR="00E47614" w:rsidRPr="00B44E81" w:rsidTr="005139C4">
        <w:trPr>
          <w:trHeight w:val="362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335E30" w:rsidRDefault="003744ED" w:rsidP="00B019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01961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5139C4">
        <w:trPr>
          <w:trHeight w:val="423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E47614" w:rsidP="00B019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документарная 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основании приказа от 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7614" w:rsidRPr="00B44E81" w:rsidTr="005139C4">
        <w:trPr>
          <w:trHeight w:val="401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B01961" w:rsidP="004E75E4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24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достоверностью отчетов о реализации муниципальных программ:</w:t>
            </w:r>
            <w:r w:rsidRPr="00667AE4">
              <w:rPr>
                <w:sz w:val="24"/>
                <w:szCs w:val="24"/>
              </w:rPr>
              <w:t xml:space="preserve"> </w:t>
            </w:r>
            <w:proofErr w:type="gram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Бакурском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год», «Развитие физкультуры и спорта в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Бакурском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год», «Комплексное благоустройство территории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2021 год», «Комплексное благоустройство территории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2022 год», </w:t>
            </w:r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«Борьба с геморрагической лихорадкой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год», «Борьба с геморрагической лихорадкой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proofErr w:type="gramEnd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на 2022 год», «Обеспечение пожарной безопасности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год», «Обеспечение пожарной безопасности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год», «</w:t>
            </w:r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водоснабжения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год», </w:t>
            </w:r>
            <w:r w:rsidRPr="00667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водоснабжения на территории </w:t>
            </w:r>
            <w:proofErr w:type="spellStart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Pr="00667A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</w:t>
            </w:r>
            <w:r w:rsidRPr="00667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7614" w:rsidRPr="00B44E81" w:rsidTr="005139C4">
        <w:trPr>
          <w:trHeight w:val="407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3744ED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5139C4">
        <w:trPr>
          <w:trHeight w:val="427"/>
          <w:tblCellSpacing w:w="5" w:type="nil"/>
        </w:trPr>
        <w:tc>
          <w:tcPr>
            <w:tcW w:w="41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595" w:type="dxa"/>
            <w:gridSpan w:val="2"/>
            <w:vAlign w:val="center"/>
          </w:tcPr>
          <w:p w:rsidR="00E47614" w:rsidRPr="00B44E81" w:rsidRDefault="003744ED" w:rsidP="00B019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7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6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4E75E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CC66D9" w:rsidRPr="00CC66D9" w:rsidRDefault="004E75E4" w:rsidP="00CC66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выполнены </w:t>
            </w:r>
            <w:r w:rsidR="00CC66D9">
              <w:rPr>
                <w:rFonts w:ascii="Times New Roman" w:hAnsi="Times New Roman"/>
                <w:sz w:val="24"/>
                <w:szCs w:val="24"/>
              </w:rPr>
              <w:t xml:space="preserve">или выполнены не полностью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 программы</w:t>
            </w:r>
            <w:r w:rsidR="00CC66D9">
              <w:rPr>
                <w:rFonts w:ascii="Times New Roman" w:hAnsi="Times New Roman"/>
                <w:sz w:val="24"/>
                <w:szCs w:val="24"/>
              </w:rPr>
              <w:t>:</w:t>
            </w:r>
            <w:r w:rsidR="00B01961" w:rsidRPr="004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1961" w:rsidRPr="00412FA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B01961" w:rsidRPr="00412FA8">
              <w:rPr>
                <w:rFonts w:ascii="Times New Roman" w:hAnsi="Times New Roman" w:cs="Times New Roman"/>
                <w:sz w:val="24"/>
                <w:szCs w:val="24"/>
              </w:rPr>
              <w:t>Бакурском</w:t>
            </w:r>
            <w:proofErr w:type="spellEnd"/>
            <w:r w:rsidR="00B01961" w:rsidRPr="00412F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961" w:rsidRPr="0041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61" w:rsidRPr="00412FA8">
              <w:rPr>
                <w:rFonts w:ascii="Times New Roman" w:hAnsi="Times New Roman"/>
                <w:sz w:val="24"/>
                <w:szCs w:val="24"/>
              </w:rPr>
              <w:t xml:space="preserve"> «Комплексное благоустройство территории </w:t>
            </w:r>
            <w:proofErr w:type="spellStart"/>
            <w:r w:rsidR="00B01961" w:rsidRPr="00412FA8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="00B01961" w:rsidRPr="00412FA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2022 год»</w:t>
            </w:r>
            <w:r w:rsidR="00B019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</w:t>
            </w:r>
            <w:proofErr w:type="spellStart"/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2021 год»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на территории </w:t>
            </w:r>
            <w:proofErr w:type="spellStart"/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</w:t>
            </w:r>
            <w:r w:rsidR="00B01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961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«</w:t>
            </w:r>
            <w:r w:rsidR="00B01961" w:rsidRPr="00D72C76">
              <w:rPr>
                <w:rFonts w:ascii="Times New Roman" w:hAnsi="Times New Roman"/>
                <w:sz w:val="24"/>
                <w:szCs w:val="24"/>
              </w:rPr>
              <w:t xml:space="preserve">Борьба с геморрагической лихорадкой на территории </w:t>
            </w:r>
            <w:proofErr w:type="spellStart"/>
            <w:r w:rsidR="00B01961" w:rsidRPr="00D72C76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="00B01961" w:rsidRPr="00D72C7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2021 год»</w:t>
            </w:r>
            <w:r w:rsidR="00B01961">
              <w:rPr>
                <w:rFonts w:ascii="Times New Roman" w:hAnsi="Times New Roman"/>
                <w:sz w:val="24"/>
                <w:szCs w:val="24"/>
              </w:rPr>
              <w:t>,</w:t>
            </w:r>
            <w:r w:rsidR="00B01961" w:rsidRPr="00D7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61" w:rsidRPr="00D72C76">
              <w:rPr>
                <w:rFonts w:ascii="Times New Roman" w:hAnsi="Times New Roman"/>
                <w:sz w:val="24"/>
                <w:szCs w:val="24"/>
              </w:rPr>
              <w:t>«Борьба с геморрагической лихорадкой на территории</w:t>
            </w:r>
            <w:proofErr w:type="gramEnd"/>
            <w:r w:rsidR="00B01961" w:rsidRPr="00D7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1961" w:rsidRPr="00D72C76">
              <w:rPr>
                <w:rFonts w:ascii="Times New Roman" w:hAnsi="Times New Roman"/>
                <w:sz w:val="24"/>
                <w:szCs w:val="24"/>
              </w:rPr>
              <w:t>Бакурского</w:t>
            </w:r>
            <w:proofErr w:type="spellEnd"/>
            <w:r w:rsidR="00B01961" w:rsidRPr="00D72C76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2022 год»</w:t>
            </w:r>
            <w:r w:rsidR="00B019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C45F0" w:rsidRPr="00B44E81" w:rsidRDefault="00CC66D9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  <w:r w:rsidR="00B0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(акт проверки)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01961" w:rsidRDefault="00B01961" w:rsidP="00B156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B01961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76322">
        <w:rPr>
          <w:rFonts w:ascii="Times New Roman" w:hAnsi="Times New Roman" w:cs="Times New Roman"/>
          <w:sz w:val="24"/>
          <w:szCs w:val="24"/>
        </w:rPr>
        <w:t>.</w:t>
      </w:r>
      <w:r w:rsidR="00166A10">
        <w:rPr>
          <w:rFonts w:ascii="Times New Roman" w:hAnsi="Times New Roman" w:cs="Times New Roman"/>
          <w:sz w:val="24"/>
          <w:szCs w:val="24"/>
        </w:rPr>
        <w:t>1</w:t>
      </w:r>
      <w:r w:rsidR="00CC66D9">
        <w:rPr>
          <w:rFonts w:ascii="Times New Roman" w:hAnsi="Times New Roman" w:cs="Times New Roman"/>
          <w:sz w:val="24"/>
          <w:szCs w:val="24"/>
        </w:rPr>
        <w:t>2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36546"/>
    <w:rsid w:val="00060084"/>
    <w:rsid w:val="00067116"/>
    <w:rsid w:val="000D1DFC"/>
    <w:rsid w:val="000F7DB6"/>
    <w:rsid w:val="00122F60"/>
    <w:rsid w:val="00165082"/>
    <w:rsid w:val="00166A10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549AC"/>
    <w:rsid w:val="00476322"/>
    <w:rsid w:val="004B5304"/>
    <w:rsid w:val="004E101E"/>
    <w:rsid w:val="004E75E4"/>
    <w:rsid w:val="005139C4"/>
    <w:rsid w:val="005430AA"/>
    <w:rsid w:val="00575397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746CCE"/>
    <w:rsid w:val="00780DF4"/>
    <w:rsid w:val="00860200"/>
    <w:rsid w:val="00885FE7"/>
    <w:rsid w:val="008E08EA"/>
    <w:rsid w:val="00924EF0"/>
    <w:rsid w:val="00962FE9"/>
    <w:rsid w:val="00AB7A5F"/>
    <w:rsid w:val="00AC45F0"/>
    <w:rsid w:val="00AD1683"/>
    <w:rsid w:val="00B01961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CC66D9"/>
    <w:rsid w:val="00D20A6D"/>
    <w:rsid w:val="00DC57DA"/>
    <w:rsid w:val="00DD3C48"/>
    <w:rsid w:val="00E149DE"/>
    <w:rsid w:val="00E47614"/>
    <w:rsid w:val="00F87D2C"/>
    <w:rsid w:val="00FD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locked/>
    <w:rsid w:val="00CC66D9"/>
    <w:rPr>
      <w:rFonts w:ascii="Calibri" w:eastAsia="Calibri" w:hAnsi="Calibri"/>
    </w:rPr>
  </w:style>
  <w:style w:type="paragraph" w:styleId="ab">
    <w:name w:val="Body Text"/>
    <w:basedOn w:val="a"/>
    <w:link w:val="aa"/>
    <w:rsid w:val="00CC66D9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b"/>
    <w:uiPriority w:val="99"/>
    <w:semiHidden/>
    <w:rsid w:val="00CC6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2023-10-19T04:02:00Z</cp:lastPrinted>
  <dcterms:created xsi:type="dcterms:W3CDTF">2023-12-20T08:46:00Z</dcterms:created>
  <dcterms:modified xsi:type="dcterms:W3CDTF">2023-12-20T08:46:00Z</dcterms:modified>
</cp:coreProperties>
</file>