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A50196" w:rsidRDefault="00DB0EFF" w:rsidP="00A50196">
      <w:pPr>
        <w:rPr>
          <w:b/>
          <w:i/>
          <w:sz w:val="26"/>
          <w:szCs w:val="26"/>
          <w:lang w:val="en-US"/>
        </w:rPr>
      </w:pPr>
      <w:r>
        <w:rPr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568960</wp:posOffset>
            </wp:positionV>
            <wp:extent cx="673100" cy="903605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90360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A50196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</w:t>
      </w:r>
      <w:r w:rsidR="00DB0EF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12.10.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 w:rsidR="00DB0EF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502</w:t>
      </w:r>
      <w:r w:rsidR="0010297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0B32A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  <w:r w:rsidR="00F85262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50196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р.п. </w:t>
      </w:r>
      <w:r w:rsidR="00A3566B" w:rsidRPr="00F92C23">
        <w:rPr>
          <w:rFonts w:ascii="Times New Roman" w:hAnsi="Times New Roman"/>
          <w:color w:val="0D0D0D" w:themeColor="text1" w:themeTint="F2"/>
          <w:sz w:val="24"/>
          <w:szCs w:val="24"/>
        </w:rPr>
        <w:t>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C35B87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50196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муниципального</w:t>
            </w:r>
            <w:r w:rsidRPr="00A50196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A50196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«Об утверждении муниципальной</w:t>
            </w:r>
            <w:r w:rsidRPr="00A50196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552BA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C552BA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3566B" w:rsidRPr="00F92C23" w:rsidRDefault="00C552BA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076EB6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076EB6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A501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городской среды на</w:t>
      </w:r>
      <w:r w:rsidR="00A50196" w:rsidRPr="00A501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076EB6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257062" w:rsidRPr="00076EB6" w:rsidRDefault="00CD2301" w:rsidP="00257062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Признать утратившим силу  постановлени</w:t>
      </w:r>
      <w:r w:rsidR="0015504B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="00257062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администрации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Екатериновского муниципального района  </w:t>
      </w:r>
      <w:r w:rsidR="000B32AA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 </w:t>
      </w:r>
      <w:r w:rsidR="000B32AA" w:rsidRPr="00076EB6">
        <w:rPr>
          <w:rFonts w:ascii="Times New Roman" w:hAnsi="Times New Roman"/>
          <w:color w:val="0D0D0D" w:themeColor="text1" w:themeTint="F2"/>
          <w:sz w:val="24"/>
          <w:szCs w:val="24"/>
        </w:rPr>
        <w:t xml:space="preserve">06.08.2021 г.  № 389    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годы»».</w:t>
      </w:r>
    </w:p>
    <w:p w:rsidR="00076EB6" w:rsidRPr="00076EB6" w:rsidRDefault="00076EB6" w:rsidP="00076EB6">
      <w:pPr>
        <w:pStyle w:val="af5"/>
        <w:ind w:firstLine="567"/>
        <w:jc w:val="both"/>
        <w:rPr>
          <w:rStyle w:val="af2"/>
          <w:rFonts w:ascii="Times New Roman" w:hAnsi="Times New Roman"/>
          <w:b w:val="0"/>
          <w:bCs w:val="0"/>
          <w:sz w:val="24"/>
          <w:szCs w:val="24"/>
        </w:rPr>
      </w:pPr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3. Обнародовать и опубликовать настоящее постановление на </w:t>
      </w:r>
      <w:proofErr w:type="gramStart"/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официальном</w:t>
      </w:r>
      <w:proofErr w:type="gramEnd"/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</w:p>
    <w:p w:rsidR="00076EB6" w:rsidRPr="00CD63BF" w:rsidRDefault="00CD63BF" w:rsidP="00CD63BF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  <w:proofErr w:type="gramStart"/>
      <w:r w:rsidR="00076EB6"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сайте</w:t>
      </w:r>
      <w:proofErr w:type="gramEnd"/>
      <w:r w:rsidR="00076EB6"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администрации Екатериновского муниципального района Саратовской области.</w:t>
      </w:r>
    </w:p>
    <w:p w:rsidR="00F80314" w:rsidRPr="00CD63BF" w:rsidRDefault="00076EB6" w:rsidP="00CD63BF">
      <w:pPr>
        <w:shd w:val="clear" w:color="auto" w:fill="FFFFFF"/>
        <w:ind w:firstLine="567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CD63B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D63BF">
        <w:rPr>
          <w:rFonts w:ascii="Times New Roman" w:eastAsia="font189" w:hAnsi="Times New Roman"/>
          <w:sz w:val="24"/>
          <w:szCs w:val="24"/>
          <w:lang w:bidi="ru-RU"/>
        </w:rPr>
        <w:t>Контроль за</w:t>
      </w:r>
      <w:proofErr w:type="gramEnd"/>
      <w:r w:rsidRPr="00CD63BF">
        <w:rPr>
          <w:rFonts w:ascii="Times New Roman" w:eastAsia="font189" w:hAnsi="Times New Roman"/>
          <w:sz w:val="24"/>
          <w:szCs w:val="24"/>
          <w:lang w:bidi="ru-RU"/>
        </w:rPr>
        <w:t xml:space="preserve"> исполнением  настоящего постановления  возложить на  </w:t>
      </w:r>
      <w:r w:rsidR="00CD63BF" w:rsidRPr="00CD63BF">
        <w:rPr>
          <w:rFonts w:ascii="Times New Roman" w:eastAsia="font189" w:hAnsi="Times New Roman"/>
          <w:sz w:val="24"/>
          <w:szCs w:val="24"/>
          <w:lang w:bidi="ru-RU"/>
        </w:rPr>
        <w:t>заместителя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</w:t>
      </w:r>
      <w:r w:rsid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жилищно-коммунальной сферы администрации Екатериновского муниципального</w:t>
      </w:r>
      <w:r w:rsid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района Саратовской области 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Т.В.Вдовину.</w:t>
      </w:r>
      <w:r w:rsidR="00CD63BF">
        <w:rPr>
          <w:rFonts w:ascii="Times New Roman" w:eastAsia="font189" w:hAnsi="Times New Roman"/>
          <w:sz w:val="24"/>
          <w:szCs w:val="24"/>
          <w:lang w:bidi="ru-RU"/>
        </w:rPr>
        <w:t xml:space="preserve"> </w:t>
      </w:r>
    </w:p>
    <w:p w:rsidR="00076EB6" w:rsidRDefault="00076EB6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</w:t>
      </w: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Pr="00A50196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B0EFF">
        <w:rPr>
          <w:rFonts w:ascii="Times New Roman" w:hAnsi="Times New Roman"/>
          <w:color w:val="0D0D0D" w:themeColor="text1" w:themeTint="F2"/>
          <w:sz w:val="24"/>
          <w:szCs w:val="24"/>
        </w:rPr>
        <w:t xml:space="preserve">12.10. 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2021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B0EFF">
        <w:rPr>
          <w:rFonts w:ascii="Times New Roman" w:hAnsi="Times New Roman"/>
          <w:color w:val="0D0D0D" w:themeColor="text1" w:themeTint="F2"/>
          <w:sz w:val="24"/>
          <w:szCs w:val="24"/>
        </w:rPr>
        <w:t>502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992"/>
        <w:gridCol w:w="567"/>
        <w:gridCol w:w="992"/>
        <w:gridCol w:w="993"/>
        <w:gridCol w:w="992"/>
        <w:gridCol w:w="992"/>
        <w:gridCol w:w="1417"/>
      </w:tblGrid>
      <w:tr w:rsidR="00BC721D" w:rsidRPr="00DF450A" w:rsidTr="005016AB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945" w:type="dxa"/>
            <w:gridSpan w:val="7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5016AB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5016AB">
        <w:trPr>
          <w:trHeight w:val="802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5016AB">
        <w:trPr>
          <w:trHeight w:val="797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5016AB">
        <w:trPr>
          <w:trHeight w:val="825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5016AB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6945" w:type="dxa"/>
            <w:gridSpan w:val="7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5016AB">
        <w:trPr>
          <w:trHeight w:val="1401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5016AB">
        <w:trPr>
          <w:trHeight w:val="854"/>
        </w:trPr>
        <w:tc>
          <w:tcPr>
            <w:tcW w:w="2552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5016AB">
        <w:trPr>
          <w:trHeight w:val="495"/>
        </w:trPr>
        <w:tc>
          <w:tcPr>
            <w:tcW w:w="2552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945" w:type="dxa"/>
            <w:gridSpan w:val="7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016AB" w:rsidRPr="0055093A" w:rsidTr="00FB6E4B">
        <w:trPr>
          <w:trHeight w:val="390"/>
        </w:trPr>
        <w:tc>
          <w:tcPr>
            <w:tcW w:w="2552" w:type="dxa"/>
            <w:vMerge/>
          </w:tcPr>
          <w:p w:rsidR="005016AB" w:rsidRPr="00DF450A" w:rsidRDefault="005016AB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всего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5016AB" w:rsidRPr="005016AB" w:rsidRDefault="005016AB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2018 г. </w:t>
            </w: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2019г.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2020г.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)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2021 г.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2022 г.</w:t>
            </w:r>
          </w:p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417" w:type="dxa"/>
          </w:tcPr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</w:t>
            </w:r>
            <w:r w:rsidR="00CB5FE5"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3</w:t>
            </w: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-2024г.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ED0372" w:rsidRPr="00DB0118" w:rsidTr="00FB6E4B">
        <w:trPr>
          <w:trHeight w:val="737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BF1E4F" w:rsidP="008F4A4A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28 683 115,98</w:t>
            </w:r>
          </w:p>
        </w:tc>
        <w:tc>
          <w:tcPr>
            <w:tcW w:w="567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2  367 618,40</w:t>
            </w:r>
          </w:p>
        </w:tc>
        <w:tc>
          <w:tcPr>
            <w:tcW w:w="993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2 560 112,80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E6620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1 010 570,39</w:t>
            </w:r>
          </w:p>
        </w:tc>
        <w:tc>
          <w:tcPr>
            <w:tcW w:w="992" w:type="dxa"/>
          </w:tcPr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1 010 570,39</w:t>
            </w:r>
          </w:p>
        </w:tc>
        <w:tc>
          <w:tcPr>
            <w:tcW w:w="1417" w:type="dxa"/>
          </w:tcPr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195AC7" w:rsidP="00195AC7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21 734 244</w:t>
            </w:r>
            <w:r w:rsidR="00ED0372"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,00</w:t>
            </w:r>
          </w:p>
        </w:tc>
      </w:tr>
      <w:tr w:rsidR="00ED0372" w:rsidRPr="00DB0118" w:rsidTr="00FB6E4B">
        <w:trPr>
          <w:trHeight w:val="360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ED0372" w:rsidP="00BF1E4F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="00BF1E4F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 585 369,72</w:t>
            </w:r>
          </w:p>
        </w:tc>
        <w:tc>
          <w:tcPr>
            <w:tcW w:w="567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48 318,74</w:t>
            </w:r>
          </w:p>
        </w:tc>
        <w:tc>
          <w:tcPr>
            <w:tcW w:w="993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52 247,20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E6620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10 020 623,89</w:t>
            </w:r>
          </w:p>
        </w:tc>
        <w:tc>
          <w:tcPr>
            <w:tcW w:w="992" w:type="dxa"/>
          </w:tcPr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  20 623,89</w:t>
            </w:r>
          </w:p>
        </w:tc>
        <w:tc>
          <w:tcPr>
            <w:tcW w:w="1417" w:type="dxa"/>
          </w:tcPr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</w:t>
            </w:r>
            <w:r w:rsidR="00195AC7"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43 556</w:t>
            </w: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,00</w:t>
            </w:r>
          </w:p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</w:tc>
      </w:tr>
      <w:tr w:rsidR="005016AB" w:rsidRPr="00DB0118" w:rsidTr="00FB6E4B">
        <w:trPr>
          <w:trHeight w:val="345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5016AB" w:rsidRPr="00BF1E4F" w:rsidRDefault="00BF1E4F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3 203 010,34</w:t>
            </w:r>
            <w:r w:rsidR="00986104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</w:tc>
        <w:tc>
          <w:tcPr>
            <w:tcW w:w="567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  <w:t>191 912,86</w:t>
            </w:r>
          </w:p>
        </w:tc>
        <w:tc>
          <w:tcPr>
            <w:tcW w:w="993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134B0A" w:rsidRPr="00BF1E4F" w:rsidRDefault="00134B0A" w:rsidP="0039326E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134B0A" w:rsidP="0039326E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1 988 897,48</w:t>
            </w:r>
          </w:p>
        </w:tc>
        <w:tc>
          <w:tcPr>
            <w:tcW w:w="992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8B05C8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1  000 000,00</w:t>
            </w:r>
          </w:p>
        </w:tc>
        <w:tc>
          <w:tcPr>
            <w:tcW w:w="1417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195AC7" w:rsidP="00195AC7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22 200,00  </w:t>
            </w:r>
          </w:p>
        </w:tc>
      </w:tr>
      <w:tr w:rsidR="005016AB" w:rsidRPr="00DB0118" w:rsidTr="00FB6E4B">
        <w:trPr>
          <w:trHeight w:val="589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3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8B05C8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0,00</w:t>
            </w:r>
          </w:p>
        </w:tc>
        <w:tc>
          <w:tcPr>
            <w:tcW w:w="1417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</w:tr>
      <w:tr w:rsidR="005016AB" w:rsidRPr="00DB0118" w:rsidTr="00FB6E4B">
        <w:trPr>
          <w:trHeight w:val="513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16AB" w:rsidRPr="00BF1E4F" w:rsidRDefault="005016AB" w:rsidP="00195AC7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="00195AC7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2 471 496</w:t>
            </w: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="00195AC7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2 607 850,00</w:t>
            </w:r>
          </w:p>
        </w:tc>
        <w:tc>
          <w:tcPr>
            <w:tcW w:w="993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2 612 360,00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134B0A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  <w:r w:rsidR="00134B0A" w:rsidRPr="00BF1E4F">
              <w:rPr>
                <w:rFonts w:ascii="Times New Roman" w:hAnsi="Times New Roman" w:cs="Times New Roman"/>
                <w:sz w:val="12"/>
                <w:szCs w:val="12"/>
              </w:rPr>
              <w:t> 020 091</w:t>
            </w: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134B0A" w:rsidRPr="00BF1E4F">
              <w:rPr>
                <w:rFonts w:ascii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992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2 031 194,28</w:t>
            </w:r>
          </w:p>
        </w:tc>
        <w:tc>
          <w:tcPr>
            <w:tcW w:w="1417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195AC7" w:rsidP="00195AC7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22 2</w:t>
            </w:r>
            <w:r w:rsidR="00CB5FE5" w:rsidRPr="00BF1E4F">
              <w:rPr>
                <w:rFonts w:ascii="Times New Roman" w:hAnsi="Times New Roman" w:cs="Times New Roman"/>
                <w:sz w:val="12"/>
                <w:szCs w:val="12"/>
              </w:rPr>
              <w:t>00 000</w:t>
            </w:r>
            <w:r w:rsidR="005016AB" w:rsidRPr="00BF1E4F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</w:tr>
      <w:tr w:rsidR="008E3EA8" w:rsidRPr="00DF450A" w:rsidTr="005016AB">
        <w:trPr>
          <w:trHeight w:val="1545"/>
        </w:trPr>
        <w:tc>
          <w:tcPr>
            <w:tcW w:w="2552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945" w:type="dxa"/>
            <w:gridSpan w:val="7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lastRenderedPageBreak/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DF450A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голосование  по отбору общественных территорий  в электронной форме в информационно-телекоммуникационной сети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 году,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B5319" w:rsidRPr="000B5319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0B5319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0B5319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0B5319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0B5319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0B5319" w:rsidRPr="000B5319">
        <w:rPr>
          <w:rFonts w:ascii="Times New Roman" w:hAnsi="Times New Roman" w:cs="Times New Roman"/>
        </w:rPr>
        <w:t>42 471 496,04</w:t>
      </w:r>
      <w:r w:rsidRPr="000B5319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0B5319" w:rsidRPr="000B5319">
        <w:rPr>
          <w:rFonts w:ascii="Times New Roman" w:hAnsi="Times New Roman"/>
          <w:sz w:val="24"/>
          <w:szCs w:val="24"/>
          <w:lang w:eastAsia="ru-RU"/>
        </w:rPr>
        <w:t>28 683 115,98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 w:rsidR="000B5319" w:rsidRPr="000B5319">
        <w:rPr>
          <w:rFonts w:ascii="Times New Roman" w:hAnsi="Times New Roman"/>
          <w:sz w:val="24"/>
          <w:szCs w:val="24"/>
          <w:lang w:eastAsia="ru-RU"/>
        </w:rPr>
        <w:t>10 585 369,72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62807" w:rsidRPr="000B5319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0B5319" w:rsidRPr="000B5319">
        <w:rPr>
          <w:rFonts w:ascii="Times New Roman" w:hAnsi="Times New Roman" w:cs="Times New Roman"/>
          <w:sz w:val="24"/>
          <w:szCs w:val="24"/>
          <w:lang w:eastAsia="ru-RU"/>
        </w:rPr>
        <w:t xml:space="preserve">3 203 010,34 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, № 9 </w:t>
      </w: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644DAD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имущественные (техногенные катастрофы, стихийные бедствия,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DB0EFF">
          <w:footerReference w:type="even" r:id="rId10"/>
          <w:footerReference w:type="default" r:id="rId11"/>
          <w:pgSz w:w="11906" w:h="16838"/>
          <w:pgMar w:top="426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936280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A03065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A03065" w:rsidRDefault="005A44C4" w:rsidP="00A0306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Администрация Екатериновского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15504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 тротуаров 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0E01A7" w:rsidRPr="008D489E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 </w:t>
      </w: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275"/>
        <w:gridCol w:w="1418"/>
        <w:gridCol w:w="1559"/>
        <w:gridCol w:w="1418"/>
        <w:gridCol w:w="1275"/>
        <w:gridCol w:w="1560"/>
      </w:tblGrid>
      <w:tr w:rsidR="00DD6A9F" w:rsidRPr="00DF450A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DF450A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8D489E" w:rsidRPr="00DF450A" w:rsidTr="00254851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г.</w:t>
            </w:r>
          </w:p>
          <w:p w:rsidR="008D489E" w:rsidRPr="00CB1AE2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2023 -2024г.г.</w:t>
            </w: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489E" w:rsidRPr="00DF450A" w:rsidTr="00254851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2 651 404,28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13 020 091,76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2 031 194,28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254851" w:rsidRDefault="00FE0671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4851">
              <w:rPr>
                <w:rFonts w:ascii="Times New Roman" w:hAnsi="Times New Roman" w:cs="Times New Roman"/>
                <w:sz w:val="16"/>
                <w:szCs w:val="16"/>
              </w:rPr>
              <w:t>22 200 000,00</w:t>
            </w:r>
          </w:p>
        </w:tc>
      </w:tr>
      <w:tr w:rsidR="008D489E" w:rsidRPr="00DF450A" w:rsidTr="0025485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29 458 301,59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254851" w:rsidRDefault="00FE0671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485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21 734 244,00</w:t>
            </w:r>
          </w:p>
        </w:tc>
      </w:tr>
      <w:tr w:rsidR="008D489E" w:rsidRPr="00DF450A" w:rsidTr="00254851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601 189,83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 xml:space="preserve">10 020 623,89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 xml:space="preserve">20 623,89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71" w:rsidRPr="00254851" w:rsidRDefault="00FE0671" w:rsidP="00FE0671">
            <w:pPr>
              <w:pStyle w:val="af5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5485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443 556,00</w:t>
            </w:r>
          </w:p>
          <w:p w:rsidR="008D489E" w:rsidRPr="0025485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489E" w:rsidRPr="00DF450A" w:rsidTr="0025485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2 591 912,86</w:t>
            </w: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1 988 897,48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254851" w:rsidRDefault="00FE0671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485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22 200,00  </w:t>
            </w:r>
          </w:p>
        </w:tc>
      </w:tr>
    </w:tbl>
    <w:p w:rsidR="00862807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:rsidR="008D489E" w:rsidRPr="00020D1D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D489E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DF450A" w:rsidTr="0045280E">
        <w:trPr>
          <w:trHeight w:val="1269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45280E">
        <w:trPr>
          <w:trHeight w:val="780"/>
        </w:trPr>
        <w:tc>
          <w:tcPr>
            <w:tcW w:w="633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45280E">
        <w:trPr>
          <w:trHeight w:val="810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4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5016AB" w:rsidTr="0045280E">
        <w:trPr>
          <w:trHeight w:val="1202"/>
        </w:trPr>
        <w:tc>
          <w:tcPr>
            <w:tcW w:w="633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73FB9" w:rsidRPr="0045280E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385</w:t>
            </w:r>
            <w:r w:rsidR="00F42DD3" w:rsidRPr="00FD677E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856</w:t>
            </w:r>
          </w:p>
          <w:p w:rsidR="0045280E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</w:p>
          <w:p w:rsidR="00F73FB9" w:rsidRPr="005016AB" w:rsidRDefault="00F73FB9" w:rsidP="00BC7E7E">
            <w:pPr>
              <w:jc w:val="center"/>
              <w:rPr>
                <w:color w:val="0D0D0D" w:themeColor="text1" w:themeTint="F2"/>
                <w:highlight w:val="yellow"/>
              </w:rPr>
            </w:pPr>
          </w:p>
        </w:tc>
      </w:tr>
      <w:tr w:rsidR="0045280E" w:rsidRPr="005016AB" w:rsidTr="00986B25">
        <w:trPr>
          <w:trHeight w:val="477"/>
        </w:trPr>
        <w:tc>
          <w:tcPr>
            <w:tcW w:w="10206" w:type="dxa"/>
            <w:gridSpan w:val="5"/>
          </w:tcPr>
          <w:p w:rsidR="0045280E" w:rsidRPr="005016AB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  <w:r w:rsidRPr="0045280E">
              <w:rPr>
                <w:rFonts w:ascii="Times New Roman" w:eastAsia="Palatino Linotype" w:hAnsi="Times New Roman"/>
                <w:color w:val="0D0D0D" w:themeColor="text1" w:themeTint="F2"/>
              </w:rPr>
              <w:t>2022 год</w:t>
            </w:r>
          </w:p>
        </w:tc>
      </w:tr>
      <w:tr w:rsidR="0045280E" w:rsidRPr="005016AB" w:rsidTr="00FD677E">
        <w:trPr>
          <w:trHeight w:val="826"/>
        </w:trPr>
        <w:tc>
          <w:tcPr>
            <w:tcW w:w="633" w:type="dxa"/>
          </w:tcPr>
          <w:p w:rsidR="0045280E" w:rsidRPr="00DF450A" w:rsidRDefault="0045280E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5" w:type="dxa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ED0372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1 0</w:t>
            </w:r>
            <w:r w:rsidR="0045280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45280E" w:rsidRPr="00DF450A" w:rsidRDefault="0045280E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BE205D" w:rsidRPr="00DF450A" w:rsidTr="0045280E">
        <w:trPr>
          <w:trHeight w:val="318"/>
        </w:trPr>
        <w:tc>
          <w:tcPr>
            <w:tcW w:w="10206" w:type="dxa"/>
            <w:gridSpan w:val="5"/>
          </w:tcPr>
          <w:p w:rsidR="0045280E" w:rsidRDefault="00BE205D" w:rsidP="00FD67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 xml:space="preserve">3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-2024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  <w:r w:rsidR="00FD677E">
              <w:rPr>
                <w:rFonts w:ascii="Times New Roman" w:eastAsia="Palatino Linotype" w:hAnsi="Times New Roman"/>
                <w:color w:val="0D0D0D" w:themeColor="text1" w:themeTint="F2"/>
              </w:rPr>
              <w:t>ы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45280E" w:rsidRPr="00DF450A" w:rsidTr="0045280E">
        <w:trPr>
          <w:trHeight w:val="272"/>
        </w:trPr>
        <w:tc>
          <w:tcPr>
            <w:tcW w:w="633" w:type="dxa"/>
          </w:tcPr>
          <w:p w:rsidR="0045280E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д.62</w:t>
            </w:r>
          </w:p>
        </w:tc>
        <w:tc>
          <w:tcPr>
            <w:tcW w:w="2975" w:type="dxa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1 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>600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45280E" w:rsidRPr="00DF450A" w:rsidRDefault="0045280E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82"/>
        </w:trPr>
        <w:tc>
          <w:tcPr>
            <w:tcW w:w="633" w:type="dxa"/>
          </w:tcPr>
          <w:p w:rsidR="00625CEB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625CEB" w:rsidRPr="00D3638F" w:rsidRDefault="00625CEB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390"/>
        </w:trPr>
        <w:tc>
          <w:tcPr>
            <w:tcW w:w="633" w:type="dxa"/>
          </w:tcPr>
          <w:p w:rsidR="00625CEB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DA1C3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625CEB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625CEB">
        <w:trPr>
          <w:trHeight w:val="272"/>
        </w:trPr>
        <w:tc>
          <w:tcPr>
            <w:tcW w:w="633" w:type="dxa"/>
          </w:tcPr>
          <w:p w:rsidR="00625CEB" w:rsidRPr="00DF450A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5" w:type="dxa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625CEB" w:rsidRPr="00D3638F" w:rsidRDefault="00625CEB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625CEB" w:rsidRPr="00DF450A" w:rsidRDefault="00625CEB" w:rsidP="00DA1C39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F17E0" w:rsidRPr="00DF450A" w:rsidTr="000F17E0">
        <w:trPr>
          <w:trHeight w:val="803"/>
        </w:trPr>
        <w:tc>
          <w:tcPr>
            <w:tcW w:w="633" w:type="dxa"/>
          </w:tcPr>
          <w:p w:rsidR="000F17E0" w:rsidRPr="00DF450A" w:rsidRDefault="000F17E0" w:rsidP="00921DC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DF450A" w:rsidRDefault="000F17E0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F17E0" w:rsidRPr="00DF450A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0F17E0" w:rsidRPr="00DF450A" w:rsidRDefault="000F17E0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F17E0" w:rsidRPr="00DF450A" w:rsidRDefault="000F17E0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F17E0" w:rsidRPr="00D3638F" w:rsidRDefault="000F17E0" w:rsidP="00921DCF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1987" w:type="dxa"/>
          </w:tcPr>
          <w:p w:rsidR="000F17E0" w:rsidRPr="00DF450A" w:rsidRDefault="000F17E0" w:rsidP="00921DC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0F17E0" w:rsidRPr="00DF450A" w:rsidRDefault="000F17E0" w:rsidP="00921DC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F17E0" w:rsidRPr="00DF450A" w:rsidTr="000F17E0">
        <w:trPr>
          <w:trHeight w:val="151"/>
        </w:trPr>
        <w:tc>
          <w:tcPr>
            <w:tcW w:w="633" w:type="dxa"/>
          </w:tcPr>
          <w:p w:rsidR="000F17E0" w:rsidRDefault="000F17E0" w:rsidP="00921DC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1" w:type="dxa"/>
            <w:gridSpan w:val="2"/>
          </w:tcPr>
          <w:p w:rsidR="000F17E0" w:rsidRPr="00DF450A" w:rsidRDefault="000F17E0" w:rsidP="0044740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0F17E0" w:rsidRPr="00DF450A" w:rsidRDefault="000F17E0" w:rsidP="0044740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39</w:t>
            </w:r>
          </w:p>
        </w:tc>
        <w:tc>
          <w:tcPr>
            <w:tcW w:w="2975" w:type="dxa"/>
            <w:vMerge w:val="restart"/>
          </w:tcPr>
          <w:p w:rsidR="000F17E0" w:rsidRPr="00DF450A" w:rsidRDefault="000F17E0" w:rsidP="0044740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F17E0" w:rsidRPr="00DF450A" w:rsidRDefault="000F17E0" w:rsidP="0044740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F17E0" w:rsidRPr="00DF450A" w:rsidRDefault="000F17E0" w:rsidP="0044740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обеспечение освещения</w:t>
            </w:r>
          </w:p>
          <w:p w:rsidR="000F17E0" w:rsidRDefault="000F17E0" w:rsidP="0044740F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0F17E0" w:rsidRPr="00D3638F" w:rsidRDefault="000F17E0" w:rsidP="0044740F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  <w:vMerge w:val="restart"/>
          </w:tcPr>
          <w:p w:rsidR="000F17E0" w:rsidRPr="00DF450A" w:rsidRDefault="000F17E0" w:rsidP="0044740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800</w:t>
            </w:r>
          </w:p>
          <w:p w:rsidR="000F17E0" w:rsidRPr="00DF450A" w:rsidRDefault="000F17E0" w:rsidP="0044740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 xml:space="preserve"> </w:t>
            </w:r>
          </w:p>
        </w:tc>
      </w:tr>
      <w:tr w:rsidR="000F17E0" w:rsidRPr="00DF450A" w:rsidTr="00625CEB">
        <w:trPr>
          <w:trHeight w:val="670"/>
        </w:trPr>
        <w:tc>
          <w:tcPr>
            <w:tcW w:w="633" w:type="dxa"/>
          </w:tcPr>
          <w:p w:rsidR="000F17E0" w:rsidRDefault="000F17E0" w:rsidP="00921DC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</w:p>
        </w:tc>
        <w:tc>
          <w:tcPr>
            <w:tcW w:w="4611" w:type="dxa"/>
            <w:gridSpan w:val="2"/>
          </w:tcPr>
          <w:p w:rsidR="000F17E0" w:rsidRPr="00DF450A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0F17E0" w:rsidRPr="00DF450A" w:rsidRDefault="000F17E0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0F17E0" w:rsidRPr="00DF450A" w:rsidRDefault="000F17E0" w:rsidP="00921DCF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</w:p>
        </w:tc>
      </w:tr>
      <w:tr w:rsidR="003F3C56" w:rsidRPr="00DF450A" w:rsidTr="00FD677E">
        <w:trPr>
          <w:trHeight w:val="1270"/>
        </w:trPr>
        <w:tc>
          <w:tcPr>
            <w:tcW w:w="633" w:type="dxa"/>
          </w:tcPr>
          <w:p w:rsidR="003F3C56" w:rsidRPr="00DF450A" w:rsidRDefault="003F3C56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  <w:tc>
          <w:tcPr>
            <w:tcW w:w="4611" w:type="dxa"/>
            <w:gridSpan w:val="2"/>
          </w:tcPr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3F3C56" w:rsidRPr="00DF450A" w:rsidRDefault="003F3C56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</w:t>
            </w:r>
            <w:r w:rsidR="00601CF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3F3C56" w:rsidRDefault="003F3C56" w:rsidP="00921DCF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3F3C56" w:rsidRPr="00D3638F" w:rsidRDefault="003F3C56" w:rsidP="00921DCF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3F3C56" w:rsidRPr="00DF450A" w:rsidRDefault="003F3C56" w:rsidP="00921DC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3F3C56" w:rsidRPr="00DF450A" w:rsidRDefault="003F3C56" w:rsidP="00921DC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3F3C56">
        <w:trPr>
          <w:trHeight w:val="635"/>
        </w:trPr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5" w:type="dxa"/>
          </w:tcPr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3638F" w:rsidRDefault="00FD677E" w:rsidP="008347F2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347F2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8347F2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3F3C56">
        <w:trPr>
          <w:trHeight w:val="1147"/>
        </w:trPr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FD677E" w:rsidRPr="00D3638F" w:rsidRDefault="00FD677E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0F17E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D677E" w:rsidRPr="00DF450A" w:rsidRDefault="00FD677E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F06FEB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7"/>
        <w:tblW w:w="9606" w:type="dxa"/>
        <w:tblLayout w:type="fixed"/>
        <w:tblLook w:val="04A0"/>
      </w:tblPr>
      <w:tblGrid>
        <w:gridCol w:w="562"/>
        <w:gridCol w:w="3089"/>
        <w:gridCol w:w="4537"/>
        <w:gridCol w:w="1418"/>
      </w:tblGrid>
      <w:tr w:rsidR="0055093A" w:rsidRPr="00F06FEB" w:rsidTr="00561F06">
        <w:trPr>
          <w:trHeight w:val="869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F06FEB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F06FEB" w:rsidTr="00733400">
        <w:trPr>
          <w:trHeight w:val="285"/>
        </w:trPr>
        <w:tc>
          <w:tcPr>
            <w:tcW w:w="9606" w:type="dxa"/>
            <w:gridSpan w:val="4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F06FEB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F06FEB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F06FEB" w:rsidTr="00F06FEB">
        <w:trPr>
          <w:trHeight w:val="242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55093A" w:rsidRPr="00F06FEB" w:rsidTr="00561F06">
        <w:trPr>
          <w:trHeight w:val="2355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537" w:type="dxa"/>
          </w:tcPr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F06FEB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F06FEB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418" w:type="dxa"/>
          </w:tcPr>
          <w:p w:rsidR="0055093A" w:rsidRPr="00F06FEB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F06FEB" w:rsidTr="00561F06">
        <w:trPr>
          <w:trHeight w:val="1698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537" w:type="dxa"/>
          </w:tcPr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418" w:type="dxa"/>
          </w:tcPr>
          <w:p w:rsidR="0055093A" w:rsidRPr="00F06FEB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F06FEB" w:rsidTr="00777731">
        <w:trPr>
          <w:trHeight w:val="310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5016AB" w:rsidRDefault="00DE6620" w:rsidP="00134B0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134B0A"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</w:t>
            </w:r>
            <w:r w:rsidR="00EF5631"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134B0A"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</w:tr>
      <w:tr w:rsidR="0055093A" w:rsidRPr="00B940DE" w:rsidTr="00561F06">
        <w:trPr>
          <w:trHeight w:val="1365"/>
        </w:trPr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3A" w:rsidRPr="005016AB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1 534,23576</w:t>
            </w:r>
          </w:p>
        </w:tc>
      </w:tr>
      <w:tr w:rsidR="0055093A" w:rsidRPr="00F06FEB" w:rsidTr="00F06FEB">
        <w:trPr>
          <w:trHeight w:val="274"/>
        </w:trPr>
        <w:tc>
          <w:tcPr>
            <w:tcW w:w="9606" w:type="dxa"/>
            <w:gridSpan w:val="4"/>
          </w:tcPr>
          <w:p w:rsidR="0055093A" w:rsidRPr="00F06FEB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</w:tr>
      <w:tr w:rsidR="00B117D8" w:rsidRPr="00F06FEB" w:rsidTr="00561F06">
        <w:trPr>
          <w:trHeight w:val="791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  <w:r w:rsidR="00ED037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 стороны ул. Рабочая)</w:t>
            </w:r>
          </w:p>
        </w:tc>
        <w:tc>
          <w:tcPr>
            <w:tcW w:w="4537" w:type="dxa"/>
          </w:tcPr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Pr="00F06FEB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беседки с навесом</w:t>
            </w:r>
          </w:p>
        </w:tc>
        <w:tc>
          <w:tcPr>
            <w:tcW w:w="1418" w:type="dxa"/>
          </w:tcPr>
          <w:p w:rsidR="00B117D8" w:rsidRPr="00F06FEB" w:rsidRDefault="006B73AC" w:rsidP="00ED037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74709F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  <w:r w:rsidR="00ED037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</w:t>
            </w:r>
            <w:r w:rsidR="0074709F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ED037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19428</w:t>
            </w:r>
          </w:p>
        </w:tc>
      </w:tr>
      <w:tr w:rsidR="00643145" w:rsidRPr="00F06FEB" w:rsidTr="00257062">
        <w:trPr>
          <w:trHeight w:val="291"/>
        </w:trPr>
        <w:tc>
          <w:tcPr>
            <w:tcW w:w="9606" w:type="dxa"/>
            <w:gridSpan w:val="4"/>
          </w:tcPr>
          <w:p w:rsidR="00643145" w:rsidRPr="00F06FEB" w:rsidRDefault="00643145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2023-2024г. </w:t>
            </w:r>
          </w:p>
        </w:tc>
      </w:tr>
      <w:tr w:rsidR="00B117D8" w:rsidRPr="00F06FEB" w:rsidTr="00561F06">
        <w:trPr>
          <w:trHeight w:val="454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B117D8" w:rsidRPr="00F06FEB" w:rsidRDefault="0074709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50 лет Октябрь, р.п. Екатериновка</w:t>
            </w:r>
          </w:p>
        </w:tc>
        <w:tc>
          <w:tcPr>
            <w:tcW w:w="4537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детского игрового комплекса</w:t>
            </w:r>
          </w:p>
          <w:p w:rsidR="009D47DB" w:rsidRPr="00F06FEB" w:rsidRDefault="009D47DB" w:rsidP="00F06FE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площад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</w:t>
            </w:r>
          </w:p>
        </w:tc>
        <w:tc>
          <w:tcPr>
            <w:tcW w:w="1418" w:type="dxa"/>
          </w:tcPr>
          <w:p w:rsidR="00B117D8" w:rsidRPr="00F06FEB" w:rsidRDefault="0074709F" w:rsidP="00711C3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1000,00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117D8" w:rsidRPr="00F06FEB" w:rsidTr="00561F06">
        <w:trPr>
          <w:trHeight w:val="450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B117D8" w:rsidRPr="00F06FEB" w:rsidRDefault="006B73AC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дминистративная площадь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р.п. Екатериновка</w:t>
            </w:r>
          </w:p>
        </w:tc>
        <w:tc>
          <w:tcPr>
            <w:tcW w:w="4537" w:type="dxa"/>
          </w:tcPr>
          <w:p w:rsidR="009D47DB" w:rsidRPr="00F06FEB" w:rsidRDefault="009D47DB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117D8" w:rsidRPr="00F06FEB" w:rsidRDefault="009D47DB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</w:tc>
        <w:tc>
          <w:tcPr>
            <w:tcW w:w="1418" w:type="dxa"/>
          </w:tcPr>
          <w:p w:rsidR="00B117D8" w:rsidRPr="00F06FEB" w:rsidRDefault="0074709F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1000,00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EE0FC7" w:rsidRPr="00A50196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ru-RU"/>
        </w:rPr>
        <w:sectPr w:rsidR="00EE0FC7" w:rsidRPr="00A50196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A50196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ru-RU"/>
        </w:rPr>
        <w:sectPr w:rsidR="00EE0FC7" w:rsidRPr="00A50196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A50196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en-US" w:eastAsia="ru-RU"/>
        </w:rPr>
        <w:sectPr w:rsidR="00EE0FC7" w:rsidRPr="00A50196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EE0FC7">
        <w:rPr>
          <w:rFonts w:ascii="Times New Roman" w:hAnsi="Times New Roman" w:cs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Екатериновского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7"/>
        <w:tblW w:w="15764" w:type="dxa"/>
        <w:tblLayout w:type="fixed"/>
        <w:tblLook w:val="04A0"/>
      </w:tblPr>
      <w:tblGrid>
        <w:gridCol w:w="594"/>
        <w:gridCol w:w="4226"/>
        <w:gridCol w:w="2835"/>
        <w:gridCol w:w="4111"/>
        <w:gridCol w:w="1864"/>
        <w:gridCol w:w="2134"/>
      </w:tblGrid>
      <w:tr w:rsidR="00EE0FC7" w:rsidTr="00257062">
        <w:tc>
          <w:tcPr>
            <w:tcW w:w="59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86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3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EE0FC7" w:rsidTr="00257062">
        <w:trPr>
          <w:trHeight w:val="4158"/>
        </w:trPr>
        <w:tc>
          <w:tcPr>
            <w:tcW w:w="59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д.12),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>)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Екатериновского района Саратовской области</w:t>
            </w:r>
            <w:r>
              <w:t xml:space="preserve">   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86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3780 </w:t>
            </w:r>
            <w:r w:rsidRPr="004045A2">
              <w:t>м</w:t>
            </w:r>
            <w:proofErr w:type="gramStart"/>
            <w:r w:rsidRPr="004D1E7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3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C062A0">
              <w:t>8</w:t>
            </w:r>
            <w:r>
              <w:t xml:space="preserve"> </w:t>
            </w:r>
            <w:r w:rsidRPr="00C062A0">
              <w:t>923</w:t>
            </w:r>
            <w:r>
              <w:t xml:space="preserve"> </w:t>
            </w:r>
            <w:r w:rsidRPr="00C062A0">
              <w:t>936,8</w:t>
            </w:r>
            <w:r>
              <w:t>0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  <w:p w:rsidR="00EE0FC7" w:rsidRPr="00647987" w:rsidRDefault="00EE0FC7" w:rsidP="00257062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  <w:rPr>
                <w:highlight w:val="green"/>
              </w:rPr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EE0FC7" w:rsidTr="00257062">
        <w:trPr>
          <w:trHeight w:val="422"/>
        </w:trPr>
        <w:tc>
          <w:tcPr>
            <w:tcW w:w="59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Екатериновского района Саратовской области</w:t>
            </w:r>
            <w:r>
              <w:t xml:space="preserve">   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86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 шт.</w:t>
            </w:r>
          </w:p>
        </w:tc>
        <w:tc>
          <w:tcPr>
            <w:tcW w:w="2134" w:type="dxa"/>
          </w:tcPr>
          <w:p w:rsidR="00EE0FC7" w:rsidRPr="004D1E7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1 076 063,20</w:t>
            </w:r>
          </w:p>
        </w:tc>
      </w:tr>
      <w:tr w:rsidR="00EE0FC7" w:rsidRPr="00F45DF0" w:rsidTr="00257062">
        <w:tc>
          <w:tcPr>
            <w:tcW w:w="59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4226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2835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4111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rPr>
                <w:b/>
                <w:bCs/>
              </w:rPr>
            </w:pPr>
            <w:r w:rsidRPr="00F45DF0">
              <w:rPr>
                <w:b/>
                <w:bCs/>
              </w:rPr>
              <w:t>ИТОГО:</w:t>
            </w:r>
          </w:p>
        </w:tc>
        <w:tc>
          <w:tcPr>
            <w:tcW w:w="186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213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</w:rPr>
            </w:pPr>
            <w:r w:rsidRPr="00F45DF0">
              <w:rPr>
                <w:b/>
                <w:bCs/>
              </w:rPr>
              <w:t>10 000 000,00</w:t>
            </w:r>
          </w:p>
        </w:tc>
      </w:tr>
    </w:tbl>
    <w:p w:rsidR="00EE0FC7" w:rsidRDefault="00EE0FC7" w:rsidP="00EE0FC7"/>
    <w:sectPr w:rsidR="00EE0FC7" w:rsidSect="00EE0FC7">
      <w:pgSz w:w="16838" w:h="11906" w:orient="landscape" w:code="9"/>
      <w:pgMar w:top="849" w:right="536" w:bottom="1701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A6" w:rsidRDefault="004132A6" w:rsidP="001D5765">
      <w:pPr>
        <w:spacing w:after="0" w:line="240" w:lineRule="auto"/>
      </w:pPr>
      <w:r>
        <w:separator/>
      </w:r>
    </w:p>
  </w:endnote>
  <w:endnote w:type="continuationSeparator" w:id="0">
    <w:p w:rsidR="004132A6" w:rsidRDefault="004132A6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4B" w:rsidRDefault="00C552BA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FB6E4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B6E4B" w:rsidRDefault="00FB6E4B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4B" w:rsidRPr="007931C9" w:rsidRDefault="00FB6E4B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FB6E4B" w:rsidRDefault="00FB6E4B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A6" w:rsidRDefault="004132A6" w:rsidP="001D5765">
      <w:pPr>
        <w:spacing w:after="0" w:line="240" w:lineRule="auto"/>
      </w:pPr>
      <w:r>
        <w:separator/>
      </w:r>
    </w:p>
  </w:footnote>
  <w:footnote w:type="continuationSeparator" w:id="0">
    <w:p w:rsidR="004132A6" w:rsidRDefault="004132A6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3F47"/>
    <w:rsid w:val="00084DE1"/>
    <w:rsid w:val="000854D5"/>
    <w:rsid w:val="00085781"/>
    <w:rsid w:val="000858CA"/>
    <w:rsid w:val="00095528"/>
    <w:rsid w:val="00096A8E"/>
    <w:rsid w:val="0009727F"/>
    <w:rsid w:val="000A0C3C"/>
    <w:rsid w:val="000A0CDA"/>
    <w:rsid w:val="000A0E0B"/>
    <w:rsid w:val="000A1D81"/>
    <w:rsid w:val="000A2B1B"/>
    <w:rsid w:val="000B32AA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523C"/>
    <w:rsid w:val="000E5A35"/>
    <w:rsid w:val="000E731C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B0A"/>
    <w:rsid w:val="00134FFB"/>
    <w:rsid w:val="001372E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3D41"/>
    <w:rsid w:val="00263D92"/>
    <w:rsid w:val="002642D1"/>
    <w:rsid w:val="00265F3B"/>
    <w:rsid w:val="002660E9"/>
    <w:rsid w:val="002674DD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32A6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1CF5"/>
    <w:rsid w:val="00606F63"/>
    <w:rsid w:val="00607341"/>
    <w:rsid w:val="00621AFD"/>
    <w:rsid w:val="00621DD1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489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C673E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50196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5B87"/>
    <w:rsid w:val="00C371C1"/>
    <w:rsid w:val="00C417DD"/>
    <w:rsid w:val="00C430BA"/>
    <w:rsid w:val="00C45815"/>
    <w:rsid w:val="00C45E42"/>
    <w:rsid w:val="00C45F48"/>
    <w:rsid w:val="00C52C90"/>
    <w:rsid w:val="00C546B4"/>
    <w:rsid w:val="00C552BA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332B"/>
    <w:rsid w:val="00C878FD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E64"/>
    <w:rsid w:val="00DD6A3B"/>
    <w:rsid w:val="00DD6A9F"/>
    <w:rsid w:val="00DE01C1"/>
    <w:rsid w:val="00DE2A99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F0E3A"/>
    <w:rsid w:val="00EF5631"/>
    <w:rsid w:val="00EF73AC"/>
    <w:rsid w:val="00F0088F"/>
    <w:rsid w:val="00F00B5B"/>
    <w:rsid w:val="00F0187E"/>
    <w:rsid w:val="00F0247C"/>
    <w:rsid w:val="00F02B0F"/>
    <w:rsid w:val="00F043B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6F62"/>
    <w:rsid w:val="00FA7868"/>
    <w:rsid w:val="00FB223C"/>
    <w:rsid w:val="00FB345C"/>
    <w:rsid w:val="00FB386D"/>
    <w:rsid w:val="00FB4092"/>
    <w:rsid w:val="00FB6E4B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317B-6614-4F64-8339-42817FC8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29</TotalTime>
  <Pages>1</Pages>
  <Words>7019</Words>
  <Characters>40010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46936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9</cp:revision>
  <cp:lastPrinted>2021-10-18T08:06:00Z</cp:lastPrinted>
  <dcterms:created xsi:type="dcterms:W3CDTF">2021-10-18T07:38:00Z</dcterms:created>
  <dcterms:modified xsi:type="dcterms:W3CDTF">2021-10-20T07:51:00Z</dcterms:modified>
</cp:coreProperties>
</file>