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27 марта 2019 года                № 10                       с.Крутояр                                           </w:t>
      </w:r>
    </w:p>
    <w:p>
      <w:pPr>
        <w:pStyle w:val="NoSpacing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Положения о комиссии по соблюдению </w:t>
      </w:r>
    </w:p>
    <w:p>
      <w:pPr>
        <w:pStyle w:val="NoSpacing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требований к служебному поведению муниципальных</w:t>
      </w:r>
    </w:p>
    <w:p>
      <w:pPr>
        <w:pStyle w:val="NoSpacing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служащих администрации Крутоярского муниципального образования и урегулированию конфликта интересов»</w:t>
      </w:r>
    </w:p>
    <w:p>
      <w:pPr>
        <w:pStyle w:val="NoSpacing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332E2D"/>
          <w:spacing w:val="2"/>
          <w:sz w:val="28"/>
          <w:szCs w:val="28"/>
        </w:rPr>
        <w:t>     </w:t>
        <w:tab/>
      </w:r>
      <w:r>
        <w:rPr>
          <w:rFonts w:ascii="Times New Roman" w:hAnsi="Times New Roman"/>
          <w:spacing w:val="2"/>
          <w:sz w:val="28"/>
          <w:szCs w:val="28"/>
        </w:rPr>
        <w:t xml:space="preserve">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02.03.2007 № 25-ФЗ «О муниципальной службе в Российской Федерации», Законом Саратовской  области от 2 августа 2007 года № 157-ЗСО «О некоторых вопросах муниципальной службы в Саратовской области»,  Федеральным законом от 3 августа 2018 года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протестом прокуратуры на постановление администрации Крутоярского муниципального образования от 25.04.2016 года № 20 </w:t>
      </w:r>
      <w:r>
        <w:rPr>
          <w:rFonts w:ascii="Times New Roman" w:hAnsi="Times New Roman"/>
          <w:bCs/>
          <w:sz w:val="28"/>
          <w:szCs w:val="28"/>
        </w:rPr>
        <w:t>«Об утверждении Положения о комиссии по соблюдению требований к служебному поведению муниципальных служащих администрации Крутоярского муниципального образования и урегулированию конфликта интересов»,</w:t>
      </w:r>
      <w:r>
        <w:rPr>
          <w:rFonts w:ascii="Times New Roman" w:hAnsi="Times New Roman"/>
          <w:spacing w:val="2"/>
          <w:sz w:val="28"/>
          <w:szCs w:val="28"/>
        </w:rPr>
        <w:t xml:space="preserve"> Уставом  Крутоярского муниципального образования</w:t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>ПОСТАНОВЛЯЕТ:</w:t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  <w:highlight w:val="yellow"/>
        </w:rPr>
      </w:pPr>
      <w:r>
        <w:rPr>
          <w:rFonts w:ascii="Times New Roman" w:hAnsi="Times New Roman"/>
          <w:color w:val="332E2D"/>
          <w:spacing w:val="2"/>
          <w:sz w:val="28"/>
          <w:szCs w:val="28"/>
          <w:highlight w:val="yellow"/>
        </w:rPr>
      </w:r>
    </w:p>
    <w:p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     </w:t>
      </w:r>
      <w:r>
        <w:rPr>
          <w:rFonts w:ascii="Times New Roman" w:hAnsi="Times New Roman"/>
          <w:color w:val="332E2D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 xml:space="preserve">1.Утвердить </w:t>
      </w:r>
      <w:r>
        <w:rPr>
          <w:rFonts w:ascii="Times New Roman" w:hAnsi="Times New Roman"/>
          <w:bCs/>
          <w:sz w:val="28"/>
          <w:szCs w:val="28"/>
        </w:rPr>
        <w:t>Положение о комиссии по соблюдению требований к служебному поведению муниципальных служащих администрации Крутоярского муниципального образования и урегулированию конфликта интересов.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/>
          <w:bCs/>
          <w:sz w:val="28"/>
          <w:szCs w:val="28"/>
        </w:rPr>
        <w:t>2. Постановление</w:t>
      </w:r>
      <w:r>
        <w:rPr>
          <w:rFonts w:ascii="Times New Roman" w:hAnsi="Times New Roman"/>
          <w:spacing w:val="2"/>
          <w:sz w:val="28"/>
          <w:szCs w:val="28"/>
        </w:rPr>
        <w:t xml:space="preserve"> администрации Крутоярского муниципального образования от 25.04.2016 года № 20 </w:t>
      </w:r>
      <w:r>
        <w:rPr>
          <w:rFonts w:ascii="Times New Roman" w:hAnsi="Times New Roman"/>
          <w:bCs/>
          <w:sz w:val="28"/>
          <w:szCs w:val="28"/>
        </w:rPr>
        <w:t>«Об утверждении Положения о комиссии по соблюдению требований к служебному поведению муниципальных служащих администрации Крутоярского муниципального образования и урегулированию конфликта интересов» с вносимыми изменениями (постановление от 24.11.2017 г. №23, постановление от 13.12.2018 г. №46) – отменить.</w:t>
      </w:r>
    </w:p>
    <w:p>
      <w:pPr>
        <w:pStyle w:val="NoSpacing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     </w:t>
      </w:r>
      <w:r>
        <w:rPr>
          <w:rFonts w:ascii="Times New Roman" w:hAnsi="Times New Roman"/>
          <w:color w:val="332E2D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>3. Контроль за выполнением постановления оставляю за собой.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>4. Настоящее постановление вступает в силу со дня его обнародования.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5.Обнародовать на информационных стендах в специально отведенных местах в здании администрации Крутоярского муниципального образования.</w:t>
      </w:r>
    </w:p>
    <w:p>
      <w:pPr>
        <w:pStyle w:val="NoSpacing"/>
        <w:jc w:val="both"/>
        <w:rPr/>
      </w:pPr>
      <w:r>
        <w:rPr>
          <w:rFonts w:ascii="Times New Roman" w:hAnsi="Times New Roman"/>
          <w:spacing w:val="2"/>
          <w:sz w:val="28"/>
          <w:szCs w:val="28"/>
        </w:rPr>
        <w:tab/>
        <w:t xml:space="preserve">6. Опубликовать на официальном сайте администрации Екатериновского муниципального района </w:t>
      </w:r>
      <w:hyperlink r:id="rId2">
        <w:r>
          <w:rPr>
            <w:rStyle w:val="Style14"/>
            <w:rFonts w:ascii="Times New Roman" w:hAnsi="Times New Roman"/>
            <w:color w:val="00000A"/>
            <w:spacing w:val="2"/>
            <w:sz w:val="28"/>
            <w:szCs w:val="28"/>
            <w:lang w:val="en-US"/>
          </w:rPr>
          <w:t>www</w:t>
        </w:r>
        <w:r>
          <w:rPr>
            <w:rStyle w:val="Style14"/>
            <w:rFonts w:ascii="Times New Roman" w:hAnsi="Times New Roman"/>
            <w:color w:val="00000A"/>
            <w:spacing w:val="2"/>
            <w:sz w:val="28"/>
            <w:szCs w:val="28"/>
          </w:rPr>
          <w:t>.</w:t>
        </w:r>
        <w:r>
          <w:rPr>
            <w:rStyle w:val="Style14"/>
            <w:rFonts w:ascii="Times New Roman" w:hAnsi="Times New Roman"/>
            <w:color w:val="00000A"/>
            <w:spacing w:val="2"/>
            <w:sz w:val="28"/>
            <w:szCs w:val="28"/>
            <w:lang w:val="en-US"/>
          </w:rPr>
          <w:t>ekaterinovka</w:t>
        </w:r>
        <w:r>
          <w:rPr>
            <w:rStyle w:val="Style14"/>
            <w:rFonts w:ascii="Times New Roman" w:hAnsi="Times New Roman"/>
            <w:color w:val="00000A"/>
            <w:spacing w:val="2"/>
            <w:sz w:val="28"/>
            <w:szCs w:val="28"/>
          </w:rPr>
          <w:t>.</w:t>
        </w:r>
        <w:r>
          <w:rPr>
            <w:rStyle w:val="Style14"/>
            <w:rFonts w:ascii="Times New Roman" w:hAnsi="Times New Roman"/>
            <w:color w:val="00000A"/>
            <w:spacing w:val="2"/>
            <w:sz w:val="28"/>
            <w:szCs w:val="28"/>
            <w:lang w:val="en-US"/>
          </w:rPr>
          <w:t>sarmo</w:t>
        </w:r>
        <w:r>
          <w:rPr>
            <w:rStyle w:val="Style14"/>
            <w:rFonts w:ascii="Times New Roman" w:hAnsi="Times New Roman"/>
            <w:color w:val="00000A"/>
            <w:spacing w:val="2"/>
            <w:sz w:val="28"/>
            <w:szCs w:val="28"/>
          </w:rPr>
          <w:t>.</w:t>
        </w:r>
        <w:r>
          <w:rPr>
            <w:rStyle w:val="Style14"/>
            <w:rFonts w:ascii="Times New Roman" w:hAnsi="Times New Roman"/>
            <w:color w:val="00000A"/>
            <w:spacing w:val="2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pacing w:val="2"/>
          <w:sz w:val="28"/>
          <w:szCs w:val="28"/>
        </w:rPr>
        <w:t xml:space="preserve">. </w:t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>Глава Крутоярского</w:t>
      </w:r>
    </w:p>
    <w:p>
      <w:pPr>
        <w:pStyle w:val="NoSpacing"/>
        <w:rPr>
          <w:rFonts w:ascii="Times New Roman" w:hAnsi="Times New Roman"/>
          <w:b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 xml:space="preserve">муниципального образования:                                      А.Е.Лапшин                               </w:t>
        <w:br/>
        <w:t xml:space="preserve">                                                                  </w:t>
        <w:br/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color w:val="332E2D"/>
          <w:spacing w:val="2"/>
          <w:sz w:val="28"/>
          <w:szCs w:val="28"/>
        </w:rPr>
        <w:t xml:space="preserve">Приложение 1 к постановлению  </w:t>
      </w:r>
    </w:p>
    <w:p>
      <w:pPr>
        <w:pStyle w:val="NoSpacing"/>
        <w:jc w:val="center"/>
        <w:rPr>
          <w:rFonts w:ascii="Times New Roman" w:hAnsi="Times New Roman"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/>
          <w:color w:val="332E2D"/>
          <w:spacing w:val="2"/>
          <w:sz w:val="28"/>
          <w:szCs w:val="28"/>
        </w:rPr>
        <w:t xml:space="preserve">администрации Крутоярского </w:t>
      </w:r>
    </w:p>
    <w:p>
      <w:pPr>
        <w:pStyle w:val="NoSpacing"/>
        <w:jc w:val="right"/>
        <w:rPr>
          <w:rFonts w:ascii="Times New Roman" w:hAnsi="Times New Roman"/>
          <w:b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color w:val="332E2D"/>
          <w:spacing w:val="2"/>
          <w:sz w:val="28"/>
          <w:szCs w:val="28"/>
        </w:rPr>
        <w:t>муниципального образования</w:t>
        <w:br/>
        <w:t>    от 27 марта 2019 года № 10</w:t>
      </w:r>
      <w:r>
        <w:rPr>
          <w:rFonts w:ascii="Times New Roman" w:hAnsi="Times New Roman"/>
          <w:b/>
          <w:color w:val="332E2D"/>
          <w:spacing w:val="2"/>
          <w:sz w:val="28"/>
          <w:szCs w:val="28"/>
        </w:rPr>
        <w:br/>
      </w:r>
    </w:p>
    <w:p>
      <w:pPr>
        <w:pStyle w:val="NoSpacing"/>
        <w:jc w:val="center"/>
        <w:rPr>
          <w:rFonts w:ascii="Times New Roman" w:hAnsi="Times New Roman"/>
          <w:b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 xml:space="preserve">Положение </w:t>
        <w:br/>
        <w:t>о комиссии по соблюдению требований к служебному поведению муниципальных служащих и урегулированию конфликта интересов</w:t>
      </w:r>
    </w:p>
    <w:p>
      <w:pPr>
        <w:pStyle w:val="NoSpacing"/>
        <w:jc w:val="center"/>
        <w:rPr>
          <w:rFonts w:ascii="Times New Roman" w:hAnsi="Times New Roman"/>
          <w:b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1.Настоящим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интересов, образуемой в администрации Крутоярского муниципального образования в соответствии с Федеральным законом от 25 декабря 2008 года № 273-ФЗ «О противодействии коррупции».                                                              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правовыми актами Губернатора области, а также настоящим Положением.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3.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Основной задачей комиссии является: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 xml:space="preserve">а)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3">
        <w:r>
          <w:rPr>
            <w:rStyle w:val="Style14"/>
            <w:rFonts w:ascii="Times New Roman" w:hAnsi="Times New Roman"/>
            <w:color w:val="00000A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/>
          <w:sz w:val="28"/>
          <w:szCs w:val="28"/>
        </w:rPr>
        <w:t xml:space="preserve"> от 25 декабря 2008 г. N 273-ФЗ "О противодействии коррупции" и другими федеральными законами (далее - требования к служебному поведению);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обеспечение деятельности комиссий по соблюдению требований к служебному поведению муниципальных служащих и урегулированию конфликта интересов;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г) оказание муниципальным служащим консультативной помощи по вопросам, связанным с применением на практике требований к служебному поведению и </w:t>
      </w:r>
      <w:r>
        <w:fldChar w:fldCharType="begin"/>
      </w:r>
      <w:r>
        <w:instrText> HYPERLINK "http://base.garant.ru/184842/" \l "block_1000"</w:instrText>
      </w:r>
      <w:r>
        <w:fldChar w:fldCharType="separate"/>
      </w:r>
      <w:r>
        <w:rPr>
          <w:rStyle w:val="Style14"/>
          <w:rFonts w:ascii="Times New Roman" w:hAnsi="Times New Roman"/>
          <w:color w:val="00000A"/>
          <w:sz w:val="28"/>
          <w:szCs w:val="28"/>
        </w:rPr>
        <w:t>общих принципов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служебного поведения муниципальных  служащих, утвержденных </w:t>
      </w:r>
      <w:hyperlink r:id="rId4">
        <w:r>
          <w:rPr>
            <w:rStyle w:val="Style14"/>
            <w:rFonts w:ascii="Times New Roman" w:hAnsi="Times New Roman"/>
            <w:color w:val="00000A"/>
            <w:sz w:val="28"/>
            <w:szCs w:val="28"/>
          </w:rPr>
          <w:t>Указом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12 августа 2002 г. N 885, а также с уведомлением представителя нанимателя (работодателя), органов прокуратуры Российской Федерации, иных федеральных государственных органов о фактах совершения федеральными государственными служащими, государственными служащими субъектов 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обеспечение реализации муниципальными служащими обязанности уведомлять представителя нанимателя (работодателя), органы прокуратуры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организация правового просвещения муниципальных служащих;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проведение служебных проверок;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а также сведений (в части, касающейся профилактики коррупционных правонарушений), представляемых гражданами, претендующими на замещение должностей федеральной государственной службы, в соответствии с нормативными правовыми актами Российской Федерации, проверки соблюдения федеральными государственными служащими требований к служебному поведению;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подготовка указанными подразделениями кадровых служб (их должностными лицами) в соответствии с их компетенцией проектов нормативных правовых актов о противодействии коррупции;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к) взаимодействие с правоохранительными органами в установленной сфере деятельности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л) анализ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службы, и федеральными государственными служащими, сведений о соблюдении федеральными государственными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сведений о соблюдении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законами, а также при осуществлении анализа таких сведений проведение бесед с указанными гражданами и федеральными государственными служащими с их согласия, получение от них с их согласия необходимых пояснений, получение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федеральными государственными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тайну), изучение представленных гражданами или федеральными государственными служащими сведений, иной полученной информации;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м) осуществление проверки соблюдения гражданами, замещавшими должности федеральной государственной службы, ограничений при 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Порядок формирования и деятельность комиссии, а также ее состав определяются главой Крутоярского муниципального образования в соответствии с Настоящим положением.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 Комиссия образуется постановлением администрации Крутоярского муниципального образования. Указанным актом утверждается состав комиссии и порядок её работы. 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органах местного самоуправления, секретарь и члены комиссии. 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6. В состав комиссии входят: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а) Заместитель руководителя органа местного самоуправления, должностное лицо кадровой службы органа местного самоуправления, ответственное за работу по профилактике коррупционных и иных правонарушений, муниципальные служащие по вопросам муниципальной службы и кадров, юридического (правового) отдела, других подразделений органа местного самоуправления, определяемые его руководителем;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б) руководитель аппарата администрации Крутоярского муниципального образования.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b/>
          <w:spacing w:val="2"/>
          <w:sz w:val="28"/>
          <w:szCs w:val="28"/>
        </w:rPr>
        <w:t>7</w:t>
      </w:r>
      <w:r>
        <w:rPr>
          <w:rFonts w:ascii="Times New Roman" w:hAnsi="Times New Roman"/>
          <w:spacing w:val="2"/>
          <w:sz w:val="28"/>
          <w:szCs w:val="28"/>
        </w:rPr>
        <w:t xml:space="preserve">. Руководитель органа местного самоуправления может принять решение о включении в состав комиссии: 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а)   представителя общественной организации  ветеранов, созданной в органе местного самоуправления;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spacing w:val="2"/>
          <w:sz w:val="28"/>
          <w:szCs w:val="28"/>
        </w:rPr>
        <w:t>8.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spacing w:val="2"/>
          <w:sz w:val="28"/>
          <w:szCs w:val="28"/>
        </w:rPr>
        <w:t xml:space="preserve"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    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spacing w:val="2"/>
          <w:sz w:val="28"/>
          <w:szCs w:val="28"/>
        </w:rPr>
        <w:t>10. В заседаниях комиссии с правом совещательного голоса участвуют: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</w:rPr>
        <w:tab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б) другие муниципальные служащие, замещающие должности муниципальной службы в органах местного самоуправления; специалисты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самоуправления; представители заинтересованных организаций; представители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менее,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</w:t>
      </w:r>
      <w:r>
        <w:rPr>
          <w:rFonts w:ascii="Times New Roman" w:hAnsi="Times New Roman"/>
          <w:spacing w:val="2"/>
          <w:sz w:val="28"/>
          <w:szCs w:val="28"/>
        </w:rPr>
        <w:t>11. Заседание комиссии считается правомочным, если на нём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органе местного самоуправления, недопустимо.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</w:t>
      </w:r>
      <w:r>
        <w:rPr>
          <w:rFonts w:ascii="Times New Roman" w:hAnsi="Times New Roman"/>
          <w:spacing w:val="2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spacing w:val="2"/>
          <w:sz w:val="28"/>
          <w:szCs w:val="28"/>
        </w:rPr>
        <w:t>13. Основанием для проведения заседания комиссии являются: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</w:t>
      </w:r>
      <w:r>
        <w:rPr>
          <w:rFonts w:ascii="Times New Roman" w:hAnsi="Times New Roman"/>
          <w:spacing w:val="2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правонарушений, в порядке, установленном нормативным правовым актом государственного органа: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обращение гражданина, замещавшего в государственном органе должность государственной службы, включенную в перечень должностей, утвержденный </w:t>
      </w:r>
      <w:r>
        <w:fldChar w:fldCharType="begin"/>
      </w:r>
      <w:r>
        <w:instrText> HYPERLINK "http://base.garant.ru/198780/" \l "block_1"</w:instrText>
      </w:r>
      <w:r>
        <w:fldChar w:fldCharType="separate"/>
      </w:r>
      <w:r>
        <w:rPr>
          <w:rStyle w:val="Style14"/>
          <w:rFonts w:ascii="Times New Roman" w:hAnsi="Times New Roman"/>
          <w:color w:val="00000A"/>
          <w:sz w:val="28"/>
          <w:szCs w:val="28"/>
        </w:rPr>
        <w:t>нормативным правовым актом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коррупционных и иных правонарушений. 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течении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 коммерческой организации, вид договора (трудовой или гражданско-правовой), предполагаемый срок его действия сумма оплаты за выполнение (оказание) по договору работ (услуг). В подразделении кадровой службы государственного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ст.12 Федерального закона от 25 декабря 2008 года №273-ФЗ «О противодействии коррупции</w:t>
      </w:r>
      <w:r>
        <w:rPr>
          <w:rFonts w:ascii="Times New Roman" w:hAnsi="Times New Roman"/>
          <w:sz w:val="28"/>
          <w:szCs w:val="28"/>
          <w:shd w:fill="FFFFFF" w:val="clear"/>
        </w:rPr>
        <w:t>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shd w:fill="FFFFFF" w:val="clear"/>
        </w:rPr>
        <w:tab/>
      </w:r>
      <w:r>
        <w:rPr>
          <w:rFonts w:ascii="Times New Roman" w:hAnsi="Times New Roman"/>
          <w:sz w:val="28"/>
          <w:szCs w:val="28"/>
        </w:rPr>
        <w:t>Комиссия в порядке, установленном нормативными правовыми актами Российской Федерации, обязана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 гражданина о принятом решении.</w:t>
      </w:r>
    </w:p>
    <w:p>
      <w:pPr>
        <w:pStyle w:val="NoSpacing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б)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органах местного самоуправления мер по предупреждению коррупции;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представление руководителем государственного органа материалов проверки, свидетельствующих о представлении государственным служащим  недостоверных или неполных сведений, предусмотренных частью 1 статьи 3Федерального закона от 3 декабря 2012 года № 230-ФЗ   « О контроле за соответствием расходов лиц, замещающих государственные                должности, и иных лиц их доходам» ( далее-Федеральный  закон « О контроле за соответствием расходов лиц, замещающих государственные должности, и иных лиц их доходам»;</w:t>
      </w:r>
    </w:p>
    <w:p>
      <w:pPr>
        <w:pStyle w:val="NoSpacing"/>
        <w:ind w:firstLine="708"/>
        <w:jc w:val="both"/>
        <w:rPr/>
      </w:pPr>
      <w:r>
        <w:rPr>
          <w:rFonts w:ascii="Times New Roman" w:hAnsi="Times New Roman"/>
          <w:sz w:val="28"/>
          <w:szCs w:val="28"/>
        </w:rPr>
        <w:t xml:space="preserve">д) поступившее в соответствии с </w:t>
      </w:r>
      <w:r>
        <w:fldChar w:fldCharType="begin"/>
      </w:r>
      <w:r>
        <w:instrText> HYPERLINK "http://base.garant.ru/12164203/" \l "block_1204"</w:instrText>
      </w:r>
      <w:r>
        <w:fldChar w:fldCharType="separate"/>
      </w:r>
      <w:r>
        <w:rPr>
          <w:rStyle w:val="Style14"/>
          <w:rFonts w:ascii="Times New Roman" w:hAnsi="Times New Roman"/>
          <w:color w:val="00000A"/>
          <w:sz w:val="28"/>
          <w:szCs w:val="28"/>
        </w:rPr>
        <w:t>частью 4 статьи 12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от 25 декабря 2008 г. N 273-ФЗ "О противодействии коррупции" и </w:t>
      </w:r>
      <w:r>
        <w:fldChar w:fldCharType="begin"/>
      </w:r>
      <w:r>
        <w:instrText> HYPERLINK "http://base.garant.ru/12125268/11/" \l "block_641"</w:instrText>
      </w:r>
      <w:r>
        <w:fldChar w:fldCharType="separate"/>
      </w:r>
      <w:r>
        <w:rPr>
          <w:rStyle w:val="Style14"/>
          <w:rFonts w:ascii="Times New Roman" w:hAnsi="Times New Roman"/>
          <w:color w:val="00000A"/>
          <w:sz w:val="28"/>
          <w:szCs w:val="28"/>
        </w:rPr>
        <w:t>статьей 64.1</w:t>
      </w:r>
      <w:r>
        <w:fldChar w:fldCharType="end"/>
      </w:r>
      <w:r>
        <w:rPr>
          <w:rFonts w:ascii="Times New Roman" w:hAnsi="Times New Roman"/>
          <w:sz w:val="28"/>
          <w:szCs w:val="28"/>
        </w:rP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 </w:t>
      </w:r>
      <w:r>
        <w:rPr>
          <w:rFonts w:cs="Times New Roman" w:ascii="Times New Roman" w:hAnsi="Times New Roman"/>
          <w:sz w:val="28"/>
          <w:szCs w:val="28"/>
        </w:rPr>
        <w:t>предложение Губернатора Саратовской области о рассмотрении результатов, полученных в ходе осуществления контроля за расходами, в соответствии с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доходам».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13.1.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пункте 13 подпунктах «а»; «г» и «д» настоящего Положения, должностные лица кадрового подразделения государственного органа имеют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государственного органа или его заместитель, специально на то уполномоченный, может управлять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течении 45 дней со дня поступления обращения или уведомления. Указанный срок может быть продлен, но не более чем 30 дней.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13.2. Мотивированные заключения указанные п.13 п.п. «а»; «г»; «д» настоящего Положения, должны содержать: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информацию, изложенную в обращениях или уведомлениях, указанных в абзацах втором и пятом подпункта «б» и подпункте «д» п..16 Указа президента от 01.07.2010 года № 821(далее Указ);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пятом подпункте «б» и подпункте «д» пункта 16 Указа, а также рекомендации для принятия одного из решений в соответствии с пунктами 24, 25.3, 26.1 Указа или иного решения. 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</w:t>
      </w:r>
      <w:r>
        <w:rPr>
          <w:rFonts w:ascii="Times New Roman" w:hAnsi="Times New Roman"/>
          <w:spacing w:val="2"/>
          <w:sz w:val="28"/>
          <w:szCs w:val="28"/>
        </w:rPr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>
      <w:pPr>
        <w:pStyle w:val="NoSpacing"/>
        <w:jc w:val="both"/>
        <w:rPr/>
      </w:pPr>
      <w:r>
        <w:rPr>
          <w:rFonts w:ascii="Times New Roman" w:hAnsi="Times New Roman"/>
          <w:spacing w:val="2"/>
          <w:sz w:val="28"/>
          <w:szCs w:val="28"/>
        </w:rPr>
        <w:tab/>
        <w:t>14.1.</w:t>
      </w:r>
      <w:r>
        <w:rPr>
          <w:rFonts w:ascii="Times New Roman" w:hAnsi="Times New Roman"/>
          <w:sz w:val="28"/>
          <w:szCs w:val="28"/>
        </w:rPr>
        <w:t xml:space="preserve"> Обращение указанное в подпункте «д» пункта 13 Положения, подается гражданином, замещавшим должность муниципальной службы в муниципальном органе, в подразделение кадровой службы муниципального органа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муниципального органа по профилактике коррупционных и иных правонарушений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">
        <w:r>
          <w:rPr>
            <w:rStyle w:val="Style14"/>
            <w:rFonts w:ascii="Times New Roman" w:hAnsi="Times New Roman"/>
            <w:color w:val="00000A"/>
            <w:sz w:val="28"/>
            <w:szCs w:val="28"/>
          </w:rPr>
          <w:t>статьи 12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14.2. Обращение, указанное в подпункте «а» пункта 13 настоящего Положения, может быть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>
      <w:pPr>
        <w:pStyle w:val="NoSpacing"/>
        <w:jc w:val="both"/>
        <w:rPr/>
      </w:pPr>
      <w:r>
        <w:rPr>
          <w:rFonts w:ascii="Times New Roman" w:hAnsi="Times New Roman"/>
          <w:sz w:val="28"/>
          <w:szCs w:val="28"/>
        </w:rPr>
        <w:tab/>
        <w:t>14.3.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Уведомление указанное подпунктами «д» пункта 13 настоящего Положения, рассматривается подразделением кадровой службы муниципального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муниципальном органе, требований </w:t>
      </w:r>
      <w:hyperlink r:id="rId6">
        <w:r>
          <w:rPr>
            <w:rStyle w:val="Style14"/>
            <w:rFonts w:ascii="Times New Roman" w:hAnsi="Times New Roman"/>
            <w:color w:val="00000A"/>
            <w:sz w:val="28"/>
            <w:szCs w:val="28"/>
          </w:rPr>
          <w:t>статьи 12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25 декабря 2008 г. N 273-ФЗ «О противодействии коррупции». Уведомление, заключение и другие материалы в течение десяти рабочих дней со дня поступления уведомления представляются председателю комиссии.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</w:t>
      </w:r>
      <w:r>
        <w:rPr>
          <w:rFonts w:ascii="Times New Roman" w:hAnsi="Times New Roman"/>
          <w:spacing w:val="2"/>
          <w:sz w:val="28"/>
          <w:szCs w:val="28"/>
        </w:rPr>
        <w:t>15.Председатель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</w:t>
      </w:r>
      <w:r>
        <w:rPr>
          <w:rFonts w:ascii="Times New Roman" w:hAnsi="Times New Roman"/>
          <w:spacing w:val="2"/>
          <w:sz w:val="28"/>
          <w:szCs w:val="28"/>
        </w:rPr>
        <w:t>а) в течение трёх рабочих дней назначает дату заседания комиссии. При этом дата заседания комиссии  не может быть назначена позднее семи рабочих дней со дня поступления указанной информации;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</w:t>
      </w:r>
      <w:r>
        <w:rPr>
          <w:rFonts w:ascii="Times New Roman" w:hAnsi="Times New Roman"/>
          <w:spacing w:val="2"/>
          <w:sz w:val="28"/>
          <w:szCs w:val="28"/>
        </w:rPr>
        <w:t>б) в течение семи рабочих дней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орган местного самоуправления или должностному лицу кадровой службы, и с результатами её проверки;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spacing w:val="2"/>
          <w:sz w:val="28"/>
          <w:szCs w:val="28"/>
        </w:rPr>
        <w:t>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</w:t>
      </w:r>
      <w:r>
        <w:rPr>
          <w:rFonts w:ascii="Times New Roman" w:hAnsi="Times New Roman"/>
          <w:spacing w:val="2"/>
          <w:sz w:val="28"/>
          <w:szCs w:val="28"/>
        </w:rPr>
        <w:t>16.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о рассмотрении указанного вопроса без его участия рассмотрение вопроса откладывается на пять рабочих дней.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отсутствии муниципального служащего.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spacing w:val="2"/>
          <w:sz w:val="28"/>
          <w:szCs w:val="28"/>
        </w:rPr>
        <w:t xml:space="preserve">17. </w:t>
      </w:r>
      <w:r>
        <w:rPr>
          <w:rFonts w:ascii="Times New Roman" w:hAnsi="Times New Roman"/>
          <w:sz w:val="28"/>
          <w:szCs w:val="28"/>
        </w:rPr>
        <w:t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муниципальном органе. При наличии письменной просьбы муниципального служащего или гражданина, замещавшего должность муниципальной службы в муниципальном органе, о рассмотрении указанного вопроса без его участия заседание комиссии проводится в его отсутствие. В случае неявки на заседание комиссии муниципального служащего (его представителя) и при отсутствии письменной просьбы муниципального служащего о рассмотрении данного вопроса без его участия рассмотрение вопроса откладывается. В случае повторной неявки муниципального служащего без уважительной причины комиссия может принять решение о рассмотрении данного вопроса в отсутствие муниципального служащего. В случае неявки на заседание комиссии гражданина, замещавшего должность муниципальной службы в муниципальном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18. Члены комиссии и лица, участвовавшие в её заседании, не вправе разглашать сведения, ставшие им известными в ходе работы комиссии.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19.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а) установить, что сведения, представленные муниципальным служащим в соответствии с подпунктом «а» пункта 1 Положения о проверке достоверности  и полноты сведений, представляемых гражданами, претендующими на замещение должностей муниципальной службы, Крутоярского муниципального образования, и муниципальными служащими Крутоярского муниципального образования, муниципальными служащими Крутоярского муниципального образования, и соблюдения требований к служебному поведению, утверждённого постановлением администрации Крутоярского муниципального образования от 26.11.2010  года №12  являются достоверными и полными;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б) установить, что сведения, представленные муниципальным служащим в соответствии с подпунктом «а» пункта 1 Положения, названного в подпункте «а» настоящего пункта,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20.  По итогам рассмотрения вопросов, предусмотренных подпунктом «а» пункта 13 настоящего Положения, при наличии к тому оснований комиссия может принять иное решение. Основания и мотивы принятия такого решения должны быть отражены в протоколе заседания комиссии.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21.  По итогам вопроса, предусмотренного подпунктом «а» пункта 13 настоящего Положения, комиссия принимает соответствующее решение.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22.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порядке представляются на рассмотрение руководителя органа местного самоуправления.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23. Решения комиссии по вопросам, указанным в пункте 13 настоящего Положения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 xml:space="preserve">24.  Решения комиссии оформляются протоколами, которые подписывают члены комиссии, принимавшие участие в её заседании. 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 </w:t>
      </w:r>
      <w:r>
        <w:rPr>
          <w:rFonts w:ascii="Times New Roman" w:hAnsi="Times New Roman"/>
          <w:spacing w:val="2"/>
          <w:sz w:val="28"/>
          <w:szCs w:val="28"/>
        </w:rPr>
        <w:t>25.  В протоколе заседания комиссии указываются: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о соблюдении требований к служебному поведению и (или) требований об урегулировании конфликта интересов;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д) фамилии, имена, отчества, выступивших на заседании лиц и краткое изложение их выступлений;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ж) другие сведения;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 </w:t>
      </w:r>
      <w:r>
        <w:rPr>
          <w:rFonts w:ascii="Times New Roman" w:hAnsi="Times New Roman"/>
          <w:spacing w:val="2"/>
          <w:sz w:val="28"/>
          <w:szCs w:val="28"/>
        </w:rPr>
        <w:t>з) результаты голосования;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 </w:t>
      </w:r>
      <w:r>
        <w:rPr>
          <w:rFonts w:ascii="Times New Roman" w:hAnsi="Times New Roman"/>
          <w:spacing w:val="2"/>
          <w:sz w:val="28"/>
          <w:szCs w:val="28"/>
        </w:rPr>
        <w:t>и) решение и обоснование его принятия.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</w:t>
      </w:r>
      <w:r>
        <w:rPr>
          <w:rFonts w:ascii="Times New Roman" w:hAnsi="Times New Roman"/>
          <w:spacing w:val="2"/>
          <w:sz w:val="28"/>
          <w:szCs w:val="28"/>
        </w:rPr>
        <w:t>26.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spacing w:val="2"/>
          <w:sz w:val="28"/>
          <w:szCs w:val="28"/>
        </w:rPr>
        <w:t xml:space="preserve">27. Копия протокола заседания комиссии в течении трёх рабочих дней со дня заседания направляются руководителю органа местного самоуправления, полностью или в виде выписок из него- муниципальному служащему, а также по решению комиссии -иным заинтересованным лицам. 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</w:t>
      </w:r>
      <w:r>
        <w:rPr>
          <w:rFonts w:ascii="Times New Roman" w:hAnsi="Times New Roman"/>
          <w:spacing w:val="2"/>
          <w:sz w:val="28"/>
          <w:szCs w:val="28"/>
        </w:rPr>
        <w:t>28. Глава Крутоярского муниципального образования обязан рассмотреть протокол заседания комиссии и вправе учесть в пределах своей компетенции содержащиеся в нём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29. В случае установления комиссией признаков дисциплинарного поступка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    </w:t>
      </w:r>
      <w:r>
        <w:rPr>
          <w:rFonts w:ascii="Times New Roman" w:hAnsi="Times New Roman"/>
          <w:spacing w:val="2"/>
          <w:sz w:val="28"/>
          <w:szCs w:val="28"/>
        </w:rPr>
        <w:t>30. В случае установлении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течении трёх дней, а при необходимости - немедленно.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</w:t>
      </w:r>
      <w:r>
        <w:rPr>
          <w:rFonts w:ascii="Times New Roman" w:hAnsi="Times New Roman"/>
          <w:spacing w:val="2"/>
          <w:sz w:val="28"/>
          <w:szCs w:val="28"/>
        </w:rPr>
        <w:t>31.  Копия протокола заседания комиссии или выписка из него приобщается к личному делу муниципальному служащему,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   </w:t>
      </w:r>
      <w:r>
        <w:rPr>
          <w:rFonts w:ascii="Times New Roman" w:hAnsi="Times New Roman"/>
          <w:spacing w:val="2"/>
          <w:sz w:val="28"/>
          <w:szCs w:val="28"/>
        </w:rPr>
        <w:t>32. 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лицом, ответственным за работу по профилактике коррупционных и иных правонарушений в органе местного самоуправления.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ab/>
        <w:t>33.</w:t>
      </w:r>
      <w:r>
        <w:rPr>
          <w:rFonts w:ascii="Times New Roman" w:hAnsi="Times New Roman"/>
          <w:sz w:val="28"/>
          <w:szCs w:val="28"/>
        </w:rPr>
        <w:t xml:space="preserve">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 в муниципальном органе, в отношении которого рассматривался вопрос, указанный в абзаце втором подпункта 14.2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>
      <w:pPr>
        <w:pStyle w:val="NoSpacing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>
      <w:pPr>
        <w:pStyle w:val="NoSpacing"/>
        <w:rPr>
          <w:rFonts w:ascii="Times New Roman" w:hAnsi="Times New Roman"/>
          <w:b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pacing w:val="2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pacing w:val="2"/>
          <w:sz w:val="28"/>
          <w:szCs w:val="28"/>
        </w:rPr>
        <w:t xml:space="preserve">Приложение 2 к постановлению  </w:t>
      </w:r>
    </w:p>
    <w:p>
      <w:pPr>
        <w:pStyle w:val="NoSpacing"/>
        <w:jc w:val="right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администрации Крутоярского </w:t>
      </w:r>
    </w:p>
    <w:p>
      <w:pPr>
        <w:pStyle w:val="NoSpacing"/>
        <w:jc w:val="right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муниципального образования</w:t>
        <w:br/>
        <w:t xml:space="preserve">    от 27 марта 2019 года № 10 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комиссии по соблюдению требований к служебному поведению муниципальных служащих и урегулированию конфликта интересов в администрации Крутоярского муниципального образования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>: Лапшин А.Е.  – глава Крутоярского муниципального образования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>: Варламова О.И. – главный специалист администрации Крутоярского муниципального образования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>: Юдина Е.В. – технический инспектор администрации Крутоярского муниципального образования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Члены комиссии: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Шабаев В.Б.. – Депутат Совета депутатов Крутоярского муниципального образования (по согласованию)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Е.Н. – Депутат Совета депутатов Крутоярского муниципального образования (по согласованию)</w:t>
      </w:r>
    </w:p>
    <w:p>
      <w:pPr>
        <w:pStyle w:val="NoSpacing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38"/>
      <w:pgMar w:left="1701" w:right="851" w:header="709" w:top="766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tabs>
        <w:tab w:val="right" w:pos="9355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4a04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bc4a04"/>
    <w:rPr>
      <w:color w:val="000080"/>
      <w:u w:val="single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bc4a04"/>
    <w:rPr>
      <w:rFonts w:ascii="Calibri" w:hAnsi="Calibri" w:eastAsia="Times New Roman" w:cs="Times New Roman"/>
      <w:lang w:eastAsia="ru-RU"/>
    </w:rPr>
  </w:style>
  <w:style w:type="character" w:styleId="Style16" w:customStyle="1">
    <w:name w:val="Текст выноски Знак"/>
    <w:basedOn w:val="DefaultParagraphFont"/>
    <w:link w:val="a7"/>
    <w:uiPriority w:val="99"/>
    <w:semiHidden/>
    <w:qFormat/>
    <w:rsid w:val="00cf724a"/>
    <w:rPr>
      <w:rFonts w:ascii="Segoe UI" w:hAnsi="Segoe UI" w:eastAsia="Times New Roman" w:cs="Segoe UI"/>
      <w:sz w:val="18"/>
      <w:szCs w:val="18"/>
      <w:lang w:eastAsia="ru-RU"/>
    </w:rPr>
  </w:style>
  <w:style w:type="character" w:styleId="Style17" w:customStyle="1">
    <w:name w:val="Верхний колонтитул Знак"/>
    <w:basedOn w:val="DefaultParagraphFont"/>
    <w:link w:val="a9"/>
    <w:uiPriority w:val="99"/>
    <w:qFormat/>
    <w:rsid w:val="007f339f"/>
    <w:rPr>
      <w:rFonts w:ascii="Calibri" w:hAnsi="Calibri" w:eastAsia="Times New Roman" w:cs="Times New Roman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Lucida San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a6e3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Style23">
    <w:name w:val="Footer"/>
    <w:basedOn w:val="Normal"/>
    <w:link w:val="a6"/>
    <w:uiPriority w:val="99"/>
    <w:unhideWhenUsed/>
    <w:rsid w:val="00bc4a04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cf72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>
    <w:name w:val="Header"/>
    <w:basedOn w:val="Normal"/>
    <w:link w:val="aa"/>
    <w:uiPriority w:val="99"/>
    <w:unhideWhenUsed/>
    <w:rsid w:val="007f339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hyperlink" Target="http://base.garant.ru/12164203/" TargetMode="External"/><Relationship Id="rId4" Type="http://schemas.openxmlformats.org/officeDocument/2006/relationships/hyperlink" Target="http://base.garant.ru/184842/" TargetMode="External"/><Relationship Id="rId5" Type="http://schemas.openxmlformats.org/officeDocument/2006/relationships/hyperlink" Target="consultantplus://offline/ref=E392CA56B84F9B0065D08D08404FA6BFCEB00A33F4D6573F2D98D0CDACDC7E97AECA83D3W9OFO" TargetMode="External"/><Relationship Id="rId6" Type="http://schemas.openxmlformats.org/officeDocument/2006/relationships/hyperlink" Target="consultantplus://offline/ref=E392CA56B84F9B0065D08D08404FA6BFCEB00A33F4D6573F2D98D0CDACDC7E97AECA83D3W9OFO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Application>LibreOffice/5.3.0.3$Windows_x86 LibreOffice_project/7074905676c47b82bbcfbea1aeefc84afe1c50e1</Application>
  <Pages>14</Pages>
  <Words>3711</Words>
  <Characters>27929</Characters>
  <CharactersWithSpaces>32523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2019-03-21T12:39:00Z</dcterms:created>
  <dc:creator>1</dc:creator>
  <dc:description/>
  <dc:language>ru-RU</dc:language>
  <cp:lastModifiedBy/>
  <cp:lastPrinted>2019-04-29T08:15:47Z</cp:lastPrinted>
  <dcterms:modified xsi:type="dcterms:W3CDTF">2019-04-29T08:17:22Z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