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A9" w:rsidRDefault="00E422A9" w:rsidP="00E422A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422A9" w:rsidRDefault="00E422A9" w:rsidP="00E422A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422A9" w:rsidRDefault="00E422A9" w:rsidP="00E422A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422A9" w:rsidRDefault="00916184" w:rsidP="00E42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шестое </w:t>
      </w:r>
      <w:r w:rsidR="00E422A9">
        <w:rPr>
          <w:rFonts w:ascii="Times New Roman" w:hAnsi="Times New Roman" w:cs="Times New Roman"/>
          <w:b/>
          <w:sz w:val="28"/>
          <w:szCs w:val="28"/>
        </w:rPr>
        <w:t>заседание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E422A9" w:rsidRDefault="00E422A9" w:rsidP="00E42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422A9" w:rsidRDefault="00E422A9" w:rsidP="00E42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2A9" w:rsidRDefault="00E422A9" w:rsidP="00E422A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422A9" w:rsidRDefault="00E422A9" w:rsidP="00E4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 </w:t>
      </w:r>
      <w:r w:rsidR="00916184">
        <w:rPr>
          <w:rFonts w:ascii="Times New Roman" w:hAnsi="Times New Roman" w:cs="Times New Roman"/>
          <w:sz w:val="28"/>
          <w:szCs w:val="28"/>
        </w:rPr>
        <w:t xml:space="preserve">17 ноября </w:t>
      </w:r>
      <w:r>
        <w:rPr>
          <w:rFonts w:ascii="Times New Roman" w:hAnsi="Times New Roman" w:cs="Times New Roman"/>
          <w:sz w:val="28"/>
          <w:szCs w:val="28"/>
        </w:rPr>
        <w:t>2017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916184">
        <w:rPr>
          <w:rFonts w:ascii="Times New Roman" w:hAnsi="Times New Roman" w:cs="Times New Roman"/>
          <w:b/>
          <w:sz w:val="28"/>
          <w:szCs w:val="28"/>
        </w:rPr>
        <w:t>66-127</w:t>
      </w:r>
    </w:p>
    <w:p w:rsidR="00E422A9" w:rsidRDefault="00E422A9" w:rsidP="00E422A9">
      <w:pPr>
        <w:spacing w:line="240" w:lineRule="auto"/>
        <w:ind w:right="1700"/>
        <w:rPr>
          <w:rFonts w:ascii="Times New Roman" w:eastAsia="Times New Roman" w:hAnsi="Times New Roman" w:cs="Courier New"/>
          <w:sz w:val="28"/>
          <w:szCs w:val="28"/>
        </w:rPr>
      </w:pPr>
    </w:p>
    <w:p w:rsidR="00E422A9" w:rsidRPr="00E422A9" w:rsidRDefault="00E422A9" w:rsidP="00E422A9">
      <w:pPr>
        <w:spacing w:line="240" w:lineRule="auto"/>
        <w:ind w:right="1700"/>
        <w:rPr>
          <w:rFonts w:ascii="Times New Roman" w:hAnsi="Times New Roman" w:cs="Times New Roman"/>
          <w:b/>
          <w:bCs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>Об установлении налога на имущество физических лиц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E422A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</w:t>
      </w:r>
      <w:r w:rsidRPr="00E422A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422A9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</w:t>
      </w:r>
      <w:r w:rsidRPr="00E4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06.10.2003 № 131-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ФЗ «Об общих принципах организации местного самоуправления в Российской Федерации», </w:t>
      </w:r>
      <w:r w:rsidRPr="00E422A9">
        <w:rPr>
          <w:rFonts w:ascii="Times New Roman" w:hAnsi="Times New Roman" w:cs="Times New Roman"/>
          <w:sz w:val="28"/>
          <w:szCs w:val="28"/>
        </w:rPr>
        <w:t>Законом Саратовской области от 26 октября 2017 года № 81-ЗСО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</w:t>
      </w:r>
      <w:proofErr w:type="gramEnd"/>
      <w:r w:rsidRPr="00E422A9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E422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E422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</w:p>
    <w:p w:rsidR="00E422A9" w:rsidRPr="00E422A9" w:rsidRDefault="00E422A9" w:rsidP="00E42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422A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b/>
          <w:sz w:val="28"/>
          <w:szCs w:val="28"/>
        </w:rPr>
        <w:t>Л:</w:t>
      </w:r>
      <w:r w:rsidRPr="00E422A9">
        <w:rPr>
          <w:rFonts w:ascii="Times New Roman" w:hAnsi="Times New Roman" w:cs="Times New Roman"/>
          <w:sz w:val="28"/>
          <w:szCs w:val="28"/>
        </w:rPr>
        <w:tab/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1</w:t>
      </w:r>
      <w:r w:rsidRPr="00E422A9">
        <w:rPr>
          <w:rFonts w:ascii="Times New Roman" w:hAnsi="Times New Roman" w:cs="Times New Roman"/>
          <w:sz w:val="28"/>
          <w:szCs w:val="28"/>
        </w:rPr>
        <w:t xml:space="preserve">. Ввести на территории </w:t>
      </w:r>
      <w:r w:rsidR="008E3A60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E422A9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 налог на имущество физических лиц.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2.</w:t>
      </w:r>
      <w:r w:rsidRPr="00E422A9">
        <w:rPr>
          <w:rFonts w:ascii="Times New Roman" w:hAnsi="Times New Roman" w:cs="Times New Roman"/>
          <w:sz w:val="28"/>
          <w:szCs w:val="28"/>
        </w:rPr>
        <w:t xml:space="preserve"> Установить, что налоговая база в отношении объектов налогообложения определяется исходя из их кадастровой стоимости, </w:t>
      </w:r>
      <w:r w:rsidRPr="00E4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5" w:anchor="dst10355" w:history="1">
        <w:r w:rsidRPr="00E422A9">
          <w:rPr>
            <w:rStyle w:val="a5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налоговым периодом</w:t>
        </w:r>
      </w:hyperlink>
      <w:r w:rsidRPr="00E422A9">
        <w:rPr>
          <w:rFonts w:ascii="Times New Roman" w:hAnsi="Times New Roman" w:cs="Times New Roman"/>
          <w:sz w:val="28"/>
          <w:szCs w:val="28"/>
        </w:rPr>
        <w:t>.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3</w:t>
      </w:r>
      <w:r w:rsidRPr="00E422A9">
        <w:rPr>
          <w:rFonts w:ascii="Times New Roman" w:hAnsi="Times New Roman" w:cs="Times New Roman"/>
          <w:sz w:val="28"/>
          <w:szCs w:val="28"/>
        </w:rPr>
        <w:t>.  В соответствии с пунктами 2, 3 статьи 406 Налогового кодекса Российской Федерации установить налоговые ставки</w:t>
      </w:r>
      <w:r w:rsidRPr="00E4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исходя из кадастровой стоимости объектов налогообложения,</w:t>
      </w:r>
      <w:r w:rsidRPr="00E422A9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22A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0,3 процента</w:t>
      </w:r>
      <w:r w:rsidRPr="00E422A9">
        <w:rPr>
          <w:rFonts w:ascii="Times New Roman" w:hAnsi="Times New Roman" w:cs="Times New Roman"/>
          <w:sz w:val="28"/>
          <w:szCs w:val="28"/>
          <w:u w:val="single"/>
        </w:rPr>
        <w:t xml:space="preserve"> в отношении: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lastRenderedPageBreak/>
        <w:t>- жилых домов, квартир, комнат;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 жилой дом;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E422A9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E422A9">
        <w:rPr>
          <w:rFonts w:ascii="Times New Roman" w:hAnsi="Times New Roman" w:cs="Times New Roman"/>
          <w:sz w:val="28"/>
          <w:szCs w:val="28"/>
        </w:rPr>
        <w:t>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22A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2 процента</w:t>
      </w:r>
      <w:r w:rsidRPr="00E422A9">
        <w:rPr>
          <w:rFonts w:ascii="Times New Roman" w:hAnsi="Times New Roman" w:cs="Times New Roman"/>
          <w:sz w:val="28"/>
          <w:szCs w:val="28"/>
          <w:u w:val="single"/>
        </w:rPr>
        <w:t xml:space="preserve"> в отношении: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>- 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422A9">
        <w:rPr>
          <w:rFonts w:ascii="Times New Roman" w:hAnsi="Times New Roman" w:cs="Times New Roman"/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рублей; 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0,5 процента</w:t>
      </w:r>
      <w:r w:rsidRPr="00E422A9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 4</w:t>
      </w:r>
      <w:r w:rsidRPr="00E422A9">
        <w:rPr>
          <w:rFonts w:ascii="Times New Roman" w:hAnsi="Times New Roman" w:cs="Times New Roman"/>
          <w:sz w:val="28"/>
          <w:szCs w:val="28"/>
        </w:rPr>
        <w:t xml:space="preserve">. Налоговые льготы предоставляются в соответствии со статьей 407 Налогового кодекса Российской Федерации. 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       Дополнительно от налогообложения освобождаются следующие категории налогоплательщиков: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 5</w:t>
      </w:r>
      <w:r w:rsidRPr="00E422A9">
        <w:rPr>
          <w:rFonts w:ascii="Times New Roman" w:hAnsi="Times New Roman" w:cs="Times New Roman"/>
          <w:sz w:val="28"/>
          <w:szCs w:val="28"/>
        </w:rPr>
        <w:t>. Установить следующие основания и порядок применения налоговых льгот, предусмотренных пунктом 4 настоящего решения: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   - налоговая льгота предоставляется в размере подлежащей уплате налогоплательщиком суммы налога в отношении объектов налогообложения, находящихся в собственности налогоплательщика и не используемых налогоплательщиком для предпринимательской деятельности;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   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lastRenderedPageBreak/>
        <w:t xml:space="preserve">       - налоговая льгота предоставляется в отношении следующих видов объектов налогообложения: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42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sz w:val="28"/>
          <w:szCs w:val="28"/>
        </w:rPr>
        <w:t>жилой дом, квартира или комната;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22A9">
        <w:rPr>
          <w:rFonts w:ascii="Times New Roman" w:hAnsi="Times New Roman" w:cs="Times New Roman"/>
          <w:sz w:val="28"/>
          <w:szCs w:val="28"/>
        </w:rPr>
        <w:t xml:space="preserve"> объекты незавершенного строительства в случае, если проектируемым назначением таких объектов является жилой дом;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E422A9">
        <w:rPr>
          <w:rFonts w:ascii="Times New Roman" w:hAnsi="Times New Roman" w:cs="Times New Roman"/>
          <w:sz w:val="28"/>
          <w:szCs w:val="28"/>
        </w:rPr>
        <w:t xml:space="preserve">- </w:t>
      </w:r>
      <w:r w:rsidRPr="00E422A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422A9">
        <w:rPr>
          <w:rFonts w:ascii="Times New Roman" w:hAnsi="Times New Roman" w:cs="Times New Roman"/>
          <w:sz w:val="28"/>
          <w:szCs w:val="28"/>
        </w:rPr>
        <w:t>специально оборудованные помещения, сооружения, используемые  исключительно в качестве творческих мастерских, ателье, студий, а также жилые помещения, используемые для организации открытых для посещения негосударственных музеев, галерей, библиотек;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22A9">
        <w:rPr>
          <w:rFonts w:ascii="Times New Roman" w:hAnsi="Times New Roman" w:cs="Times New Roman"/>
          <w:sz w:val="28"/>
          <w:szCs w:val="28"/>
        </w:rPr>
        <w:t xml:space="preserve">   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строительства;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422A9">
        <w:rPr>
          <w:rFonts w:ascii="Times New Roman" w:hAnsi="Times New Roman" w:cs="Times New Roman"/>
          <w:sz w:val="28"/>
          <w:szCs w:val="28"/>
        </w:rPr>
        <w:t xml:space="preserve">гараж или </w:t>
      </w:r>
      <w:proofErr w:type="spellStart"/>
      <w:r w:rsidRPr="00E422A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59272C">
        <w:rPr>
          <w:rFonts w:ascii="Times New Roman" w:hAnsi="Times New Roman" w:cs="Times New Roman"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sz w:val="28"/>
          <w:szCs w:val="28"/>
        </w:rPr>
        <w:t>-</w:t>
      </w:r>
      <w:r w:rsidR="0059272C">
        <w:rPr>
          <w:rFonts w:ascii="Times New Roman" w:hAnsi="Times New Roman" w:cs="Times New Roman"/>
          <w:sz w:val="28"/>
          <w:szCs w:val="28"/>
        </w:rPr>
        <w:t xml:space="preserve"> </w:t>
      </w:r>
      <w:r w:rsidRPr="00E422A9">
        <w:rPr>
          <w:rFonts w:ascii="Times New Roman" w:hAnsi="Times New Roman" w:cs="Times New Roman"/>
          <w:sz w:val="28"/>
          <w:szCs w:val="28"/>
        </w:rPr>
        <w:t>место;</w:t>
      </w:r>
    </w:p>
    <w:p w:rsidR="00E422A9" w:rsidRPr="00E422A9" w:rsidRDefault="00E422A9" w:rsidP="00E422A9">
      <w:pPr>
        <w:pStyle w:val="a3"/>
        <w:numPr>
          <w:ilvl w:val="0"/>
          <w:numId w:val="1"/>
        </w:numPr>
        <w:ind w:left="0" w:firstLine="360"/>
        <w:rPr>
          <w:sz w:val="28"/>
          <w:szCs w:val="28"/>
        </w:rPr>
      </w:pPr>
      <w:proofErr w:type="gramStart"/>
      <w:r w:rsidRPr="00E422A9">
        <w:rPr>
          <w:sz w:val="28"/>
          <w:szCs w:val="28"/>
        </w:rPr>
        <w:t xml:space="preserve">лицо, имеющее право на налоговую льготу, направляет заявление о предоставлении льготы, документы подтверждающие право налогоплательщика на налоговую льготу и уведомление о выбранных объектах налогообложения, в отношении которых предоставляется налоговая льгота, в налоговый орган </w:t>
      </w:r>
      <w:r w:rsidRPr="00E422A9">
        <w:rPr>
          <w:b/>
          <w:sz w:val="28"/>
          <w:szCs w:val="28"/>
        </w:rPr>
        <w:t>в срок до 1 ноября года,</w:t>
      </w:r>
      <w:r w:rsidRPr="00E422A9">
        <w:rPr>
          <w:sz w:val="28"/>
          <w:szCs w:val="28"/>
        </w:rPr>
        <w:t xml:space="preserve"> </w:t>
      </w:r>
      <w:r w:rsidRPr="00E422A9">
        <w:rPr>
          <w:b/>
          <w:sz w:val="28"/>
          <w:szCs w:val="28"/>
        </w:rPr>
        <w:t>являющегося налоговым периодом,</w:t>
      </w:r>
      <w:r w:rsidRPr="00E422A9">
        <w:rPr>
          <w:sz w:val="28"/>
          <w:szCs w:val="28"/>
        </w:rPr>
        <w:t xml:space="preserve"> </w:t>
      </w:r>
      <w:r w:rsidRPr="00E422A9">
        <w:rPr>
          <w:b/>
          <w:sz w:val="28"/>
          <w:szCs w:val="28"/>
        </w:rPr>
        <w:t>начиная с которого</w:t>
      </w:r>
      <w:r w:rsidRPr="00E422A9">
        <w:rPr>
          <w:sz w:val="28"/>
          <w:szCs w:val="28"/>
        </w:rPr>
        <w:t xml:space="preserve"> </w:t>
      </w:r>
      <w:r w:rsidRPr="00E422A9">
        <w:rPr>
          <w:b/>
          <w:sz w:val="28"/>
          <w:szCs w:val="28"/>
        </w:rPr>
        <w:t>в отношении указанных объектов применяется налоговая льгота.</w:t>
      </w:r>
      <w:proofErr w:type="gramEnd"/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6</w:t>
      </w:r>
      <w:r w:rsidRPr="00E422A9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«Слава Труду» в срок до 1 декабря 2017 года и разместить на официальном сайте администрации Екатериновского муниципального района в сети «Интернет». 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sz w:val="28"/>
          <w:szCs w:val="28"/>
        </w:rPr>
        <w:t xml:space="preserve">     </w:t>
      </w:r>
      <w:r w:rsidRPr="00E422A9">
        <w:rPr>
          <w:rFonts w:ascii="Times New Roman" w:hAnsi="Times New Roman" w:cs="Times New Roman"/>
          <w:b/>
          <w:sz w:val="28"/>
          <w:szCs w:val="28"/>
        </w:rPr>
        <w:t>7.</w:t>
      </w:r>
      <w:r w:rsidRPr="00E422A9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2018 года, но не ранее, чем по истечении одного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E422A9" w:rsidRPr="00916184" w:rsidRDefault="00E422A9" w:rsidP="00E422A9">
      <w:pPr>
        <w:spacing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 8.</w:t>
      </w:r>
      <w:r w:rsidRPr="00E422A9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Решения признать утратившим силу решение Совета депутатов </w:t>
      </w:r>
      <w:r w:rsidR="0091618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E422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Екатериновского муниципального </w:t>
      </w:r>
      <w:r w:rsidR="00916184">
        <w:rPr>
          <w:rFonts w:ascii="Times New Roman" w:hAnsi="Times New Roman" w:cs="Times New Roman"/>
          <w:sz w:val="28"/>
          <w:szCs w:val="28"/>
        </w:rPr>
        <w:t xml:space="preserve">района Саратовской области от 14 ноября 2014 года № 15-26 </w:t>
      </w:r>
      <w:r w:rsidRPr="00E422A9">
        <w:rPr>
          <w:rFonts w:ascii="Times New Roman" w:hAnsi="Times New Roman" w:cs="Times New Roman"/>
          <w:sz w:val="28"/>
          <w:szCs w:val="28"/>
        </w:rPr>
        <w:t xml:space="preserve"> «</w:t>
      </w:r>
      <w:r w:rsidR="00916184" w:rsidRPr="00916184">
        <w:rPr>
          <w:rFonts w:ascii="Times New Roman" w:eastAsia="Times New Roman" w:hAnsi="Times New Roman" w:cs="Courier New"/>
          <w:sz w:val="28"/>
          <w:szCs w:val="28"/>
        </w:rPr>
        <w:t>Об установлении и введении в действие налога на имущество</w:t>
      </w:r>
      <w:r w:rsidR="00916184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916184" w:rsidRPr="00916184">
        <w:rPr>
          <w:rFonts w:ascii="Times New Roman" w:eastAsia="Times New Roman" w:hAnsi="Times New Roman" w:cs="Courier New"/>
          <w:sz w:val="28"/>
          <w:szCs w:val="28"/>
        </w:rPr>
        <w:t>физических лиц на территории Альшанского муниципального образования</w:t>
      </w:r>
      <w:r w:rsidRPr="00E422A9">
        <w:rPr>
          <w:rFonts w:ascii="Times New Roman" w:hAnsi="Times New Roman" w:cs="Times New Roman"/>
          <w:sz w:val="28"/>
          <w:szCs w:val="28"/>
        </w:rPr>
        <w:t>».</w:t>
      </w:r>
    </w:p>
    <w:p w:rsidR="00E422A9" w:rsidRPr="00E422A9" w:rsidRDefault="00E422A9" w:rsidP="00E42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 xml:space="preserve">    9.</w:t>
      </w:r>
      <w:r w:rsidRPr="00E42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2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22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916184">
        <w:rPr>
          <w:rFonts w:ascii="Times New Roman" w:hAnsi="Times New Roman" w:cs="Times New Roman"/>
          <w:sz w:val="28"/>
          <w:szCs w:val="28"/>
        </w:rPr>
        <w:t xml:space="preserve"> главу Альшанского муниципального образования</w:t>
      </w:r>
      <w:r w:rsidRPr="00E422A9">
        <w:rPr>
          <w:rFonts w:ascii="Times New Roman" w:hAnsi="Times New Roman" w:cs="Times New Roman"/>
          <w:sz w:val="28"/>
          <w:szCs w:val="28"/>
        </w:rPr>
        <w:t>.</w:t>
      </w:r>
    </w:p>
    <w:p w:rsidR="00E422A9" w:rsidRPr="00E422A9" w:rsidRDefault="00E422A9" w:rsidP="00E422A9">
      <w:pPr>
        <w:pStyle w:val="a4"/>
        <w:rPr>
          <w:rFonts w:ascii="Times New Roman" w:hAnsi="Times New Roman"/>
          <w:sz w:val="28"/>
          <w:szCs w:val="28"/>
        </w:rPr>
      </w:pPr>
      <w:r w:rsidRPr="00E422A9">
        <w:rPr>
          <w:rFonts w:ascii="Times New Roman" w:hAnsi="Times New Roman"/>
          <w:sz w:val="28"/>
          <w:szCs w:val="28"/>
        </w:rPr>
        <w:t xml:space="preserve"> </w:t>
      </w:r>
    </w:p>
    <w:p w:rsidR="00E422A9" w:rsidRPr="00E422A9" w:rsidRDefault="00E422A9" w:rsidP="00E422A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422A9">
        <w:rPr>
          <w:rFonts w:ascii="Times New Roman" w:hAnsi="Times New Roman"/>
          <w:b/>
          <w:sz w:val="28"/>
          <w:szCs w:val="28"/>
        </w:rPr>
        <w:t xml:space="preserve">Глава Альшанского МО                                            М.Ф. </w:t>
      </w:r>
      <w:proofErr w:type="spellStart"/>
      <w:r w:rsidRPr="00E422A9"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916184" w:rsidRDefault="00916184" w:rsidP="00E6417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916184" w:rsidRDefault="00916184" w:rsidP="00E6417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 проекту решения Совета депутатов Альшанского муниципального образования «Об установлении налога на имущество физических лиц на территории Альшанского муниципального образования Екатериновского муниципального района Саратовской области»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Предлагаемый проект решения подготовлен в соответствии с главой 32 НК РФ, Федеральным законом от 06.10.2003 г. №131-ФЗ «Об общих принципах организации местного самоуправления в РФ», Законом Саратовской области от 26 октября 2017 г. № 81-ЗСО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</w:t>
      </w:r>
      <w:proofErr w:type="gramStart"/>
      <w:r>
        <w:rPr>
          <w:color w:val="000000"/>
          <w:sz w:val="28"/>
          <w:szCs w:val="28"/>
        </w:rPr>
        <w:t>исходя из кадастровой стоимости объектов налогообложения» и необходимостью принятия муниципального правового акта  Альшанского муниципального образования и введение с 1 января 2018 года налога на имущество физических лиц, налоговой базой для исчисления которого</w:t>
      </w:r>
      <w:proofErr w:type="gramEnd"/>
      <w:r>
        <w:rPr>
          <w:color w:val="000000"/>
          <w:sz w:val="28"/>
          <w:szCs w:val="28"/>
        </w:rPr>
        <w:t xml:space="preserve"> будет являться кадастровая стоимость.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Действующий в настоящее время порядок налогообложения объектов недвижимости ежегодно увеличивает налоговую нагрузку на собственников объектов имущества, имеющих инвентаризационную стоимость, за счет применения ежегодных индексов-дефляторов. Новый порядок исчисления определяет налоговую базу в отношении объектов налогообложения исходя из их кадастровой стоимости. В соответствии со ст.403 НК РФ налоговая база определяется: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отношении квартиры как ее кадастровая стоимость, уменьшенная на величину кадастровой стоимости 20 кв.м. общей площади квартиры;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отношении жилого дома определяется как его кадастровая стоимость, уменьшенная на величину кадастровой стоимости 50кв.м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общей площади этого жилого дома;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отношении комнаты определяется как ее кадастровая стоимость, уменьшенная на величину кадастровой стоимости 10 кв. м площади комнаты;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систему налогообложения вводятся объекты недвижимости, поставленные на кадастровый учет после 01.01.2013 г. не имеющие, инвентаризационной стоимости.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Согласно ст. 406 НК  </w:t>
      </w:r>
      <w:proofErr w:type="gramStart"/>
      <w:r>
        <w:rPr>
          <w:color w:val="000000"/>
          <w:sz w:val="28"/>
          <w:szCs w:val="28"/>
        </w:rPr>
        <w:t>РФ</w:t>
      </w:r>
      <w:proofErr w:type="gramEnd"/>
      <w:r>
        <w:rPr>
          <w:color w:val="000000"/>
          <w:sz w:val="28"/>
          <w:szCs w:val="28"/>
        </w:rPr>
        <w:t xml:space="preserve"> в случае определения налоговой базы исходя из кадастровой стоимости объекта налогообложения налоговые ставки устанавливаются в размере, не превышающих 0,1% в отношении:                             -  жилых домов, жилых помещений;</w:t>
      </w:r>
      <w:bookmarkStart w:id="0" w:name="dst10361"/>
      <w:bookmarkEnd w:id="0"/>
      <w:r>
        <w:rPr>
          <w:color w:val="000000"/>
          <w:sz w:val="28"/>
          <w:szCs w:val="28"/>
        </w:rPr>
        <w:t xml:space="preserve">                                                                       - объектов незавершенного строительства в случае, если проектируемым назначением таких объектов является жилой дом;</w:t>
      </w:r>
      <w:bookmarkStart w:id="1" w:name="dst10362"/>
      <w:bookmarkEnd w:id="1"/>
      <w:r>
        <w:rPr>
          <w:color w:val="000000"/>
          <w:sz w:val="28"/>
          <w:szCs w:val="28"/>
        </w:rPr>
        <w:t xml:space="preserve">                                                     - единых недвижимых комплексов, в состав которых входит хотя бы одно жилое помещение (жилой дом);</w:t>
      </w:r>
      <w:bookmarkStart w:id="2" w:name="dst10363"/>
      <w:bookmarkEnd w:id="2"/>
      <w:r>
        <w:rPr>
          <w:color w:val="000000"/>
          <w:sz w:val="28"/>
          <w:szCs w:val="28"/>
        </w:rPr>
        <w:t xml:space="preserve">                                                                                 - гаражей и </w:t>
      </w:r>
      <w:proofErr w:type="spellStart"/>
      <w:r>
        <w:rPr>
          <w:color w:val="000000"/>
          <w:sz w:val="28"/>
          <w:szCs w:val="28"/>
        </w:rPr>
        <w:t>машино-мест</w:t>
      </w:r>
      <w:proofErr w:type="spellEnd"/>
      <w:r>
        <w:rPr>
          <w:color w:val="000000"/>
          <w:sz w:val="28"/>
          <w:szCs w:val="28"/>
        </w:rPr>
        <w:t>;</w:t>
      </w:r>
      <w:bookmarkStart w:id="3" w:name="dst10364"/>
      <w:bookmarkEnd w:id="3"/>
      <w:r>
        <w:rPr>
          <w:color w:val="000000"/>
          <w:sz w:val="28"/>
          <w:szCs w:val="28"/>
        </w:rPr>
        <w:t xml:space="preserve">                                                                                          - хозяйственных строений 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же время налоговая ставка может быть уменьшена до нуля или увеличена, но не более чем в три раза нормативными правовыми актами представительных органов муниципальных образований. Проектом решения по данным объектам налогообложения предлагается установить налоговую ставку в размере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0,3</w:t>
      </w:r>
      <w:r>
        <w:rPr>
          <w:color w:val="000000"/>
          <w:sz w:val="28"/>
          <w:szCs w:val="28"/>
        </w:rPr>
        <w:t>% (т.е. максимально увеличенную). Это обусловлено тем, что: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налогооблагаемой базы исключаются жилые дома, площадь которых составляет менее 50 кв. м (25 % от общего числа жилых домов);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снижаются поступления по жилым домам площадью менее 80 кв. м;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снижаются поступления по квартирам площадью менее 50 кв.м.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планируемых к поступлению сумм налога на имущество физических лиц от кадастровой стоимости по максимальной ставке 0,3% показал значительное снижение поступлений в бюджет МО по сравнению с налогом, рассчитанным от инвентаризационной стоимости. (Расчет проводился с использованием ПО «Анализ имущественных налогов МО», налоговая база за 2015 год). Кроме того, на поступления в бюджет МО повлияет и переходный период, так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4-х лет с момента введения налога будет действовать понижающий коэффициент, в случае если сумма налога, рассчитанная исходя из кадастровой стоимости окажется выше, суммы налога, рассчитанной исходя из инвентаризационной стоимости.</w:t>
      </w:r>
    </w:p>
    <w:p w:rsidR="00916184" w:rsidRDefault="00916184" w:rsidP="00E64170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отношении объектов налогообложения, включенных в перечень, определяемый в соответствии с пунктом 7 статьи 378.2 Налогового кодекса РФ, объектов налогообложения, предусмотренных абзацем вторым пункта 10 статьи 378.2 НК РФ, а также объектов, кадастровая стоимость которых превышает 300 миллионов рублей устанавливается налоговая ставка в </w:t>
      </w:r>
      <w:r>
        <w:rPr>
          <w:color w:val="000000"/>
          <w:sz w:val="28"/>
          <w:szCs w:val="28"/>
        </w:rPr>
        <w:lastRenderedPageBreak/>
        <w:t xml:space="preserve">размере </w:t>
      </w:r>
      <w:r>
        <w:rPr>
          <w:rStyle w:val="s1"/>
          <w:b/>
          <w:bCs/>
          <w:color w:val="000000"/>
          <w:sz w:val="28"/>
          <w:szCs w:val="28"/>
        </w:rPr>
        <w:t xml:space="preserve">2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процента, в отношении прочих объектов налогообложения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0,5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процента.</w:t>
      </w:r>
      <w:proofErr w:type="gramEnd"/>
    </w:p>
    <w:p w:rsidR="00916184" w:rsidRDefault="00916184" w:rsidP="00916184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Налоговые льготы предоставляются в соответствии со статьей 407 Налогового кодекса РФ, дополнительно проектом решения предлагается освободить от налогообложения физических лиц, имеющих 3-х и более детей в возрасте до 18 лет или детей, учащихся дневной формы обучения до 23 лет, кроме тех, у кого дети находятся на государственном обеспечении, установить, что налоговая льгота предоставляется в отношении одного объекта налогообложения каждого вида</w:t>
      </w:r>
      <w:proofErr w:type="gramEnd"/>
      <w:r>
        <w:rPr>
          <w:color w:val="000000"/>
          <w:sz w:val="28"/>
          <w:szCs w:val="28"/>
        </w:rPr>
        <w:t xml:space="preserve"> по выбору налогоплательщика, вне зависимости от количества оснований для применения налоговых льгот.</w:t>
      </w:r>
    </w:p>
    <w:p w:rsidR="00916184" w:rsidRDefault="00916184" w:rsidP="00916184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Социально-экономическими последствиями принятия представленного проекта решения станет исполнение требований федерального законодательства, реализация муниципальным образованием регулирующей функции налога для развития территории, распределение налогового бремени в сторону собственников нового, комфортного и, следовательно, более дорогого жилья.</w:t>
      </w:r>
    </w:p>
    <w:p w:rsidR="00916184" w:rsidRDefault="00916184" w:rsidP="00916184">
      <w:pPr>
        <w:pStyle w:val="p2"/>
        <w:shd w:val="clear" w:color="auto" w:fill="FFFFFF"/>
        <w:rPr>
          <w:b/>
          <w:color w:val="000000"/>
          <w:sz w:val="28"/>
          <w:szCs w:val="28"/>
        </w:rPr>
      </w:pPr>
    </w:p>
    <w:p w:rsidR="00916184" w:rsidRDefault="00916184" w:rsidP="00916184">
      <w:pPr>
        <w:pStyle w:val="p2"/>
        <w:shd w:val="clear" w:color="auto" w:fill="FFFFFF"/>
        <w:rPr>
          <w:b/>
          <w:color w:val="000000"/>
          <w:sz w:val="28"/>
          <w:szCs w:val="28"/>
        </w:rPr>
      </w:pPr>
    </w:p>
    <w:p w:rsidR="00916184" w:rsidRPr="00616818" w:rsidRDefault="00916184" w:rsidP="00916184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 w:rsidRPr="00616818">
        <w:rPr>
          <w:b/>
          <w:color w:val="000000"/>
          <w:sz w:val="28"/>
          <w:szCs w:val="28"/>
        </w:rPr>
        <w:t xml:space="preserve">Глава  Альшанского МО                                                         М.Ф. </w:t>
      </w:r>
      <w:proofErr w:type="spellStart"/>
      <w:r w:rsidRPr="00616818">
        <w:rPr>
          <w:b/>
          <w:color w:val="000000"/>
          <w:sz w:val="28"/>
          <w:szCs w:val="28"/>
        </w:rPr>
        <w:t>Виняев</w:t>
      </w:r>
      <w:proofErr w:type="spellEnd"/>
      <w:r w:rsidRPr="00616818">
        <w:rPr>
          <w:b/>
          <w:color w:val="000000"/>
          <w:sz w:val="28"/>
          <w:szCs w:val="28"/>
        </w:rPr>
        <w:t>.</w:t>
      </w:r>
    </w:p>
    <w:p w:rsidR="00916184" w:rsidRDefault="00916184" w:rsidP="00916184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17.11.2017</w:t>
      </w:r>
    </w:p>
    <w:p w:rsidR="00916184" w:rsidRDefault="00916184" w:rsidP="00916184">
      <w:pPr>
        <w:spacing w:line="240" w:lineRule="auto"/>
      </w:pPr>
    </w:p>
    <w:p w:rsidR="00916184" w:rsidRDefault="00916184" w:rsidP="00916184">
      <w:pPr>
        <w:spacing w:line="240" w:lineRule="auto"/>
      </w:pPr>
    </w:p>
    <w:p w:rsidR="00E422A9" w:rsidRPr="00E422A9" w:rsidRDefault="00E422A9" w:rsidP="00E422A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422A9" w:rsidRPr="00E422A9" w:rsidRDefault="00E422A9" w:rsidP="00E422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A9">
        <w:rPr>
          <w:rFonts w:ascii="Times New Roman" w:hAnsi="Times New Roman" w:cs="Times New Roman"/>
          <w:b/>
          <w:sz w:val="28"/>
          <w:szCs w:val="28"/>
        </w:rPr>
        <w:tab/>
      </w:r>
      <w:r w:rsidRPr="00E422A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422A9" w:rsidRDefault="00E422A9" w:rsidP="00E422A9">
      <w:pPr>
        <w:jc w:val="both"/>
      </w:pPr>
    </w:p>
    <w:p w:rsidR="00A20B66" w:rsidRDefault="00A20B66"/>
    <w:sectPr w:rsidR="00A20B66" w:rsidSect="0056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2A9"/>
    <w:rsid w:val="00561F3E"/>
    <w:rsid w:val="0059272C"/>
    <w:rsid w:val="00814408"/>
    <w:rsid w:val="008E3A60"/>
    <w:rsid w:val="008F10E7"/>
    <w:rsid w:val="00916184"/>
    <w:rsid w:val="00A20B66"/>
    <w:rsid w:val="00B93AE4"/>
    <w:rsid w:val="00CD181C"/>
    <w:rsid w:val="00E36998"/>
    <w:rsid w:val="00E422A9"/>
    <w:rsid w:val="00E6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2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422A9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E422A9"/>
    <w:rPr>
      <w:color w:val="0000FF"/>
      <w:u w:val="single"/>
    </w:rPr>
  </w:style>
  <w:style w:type="paragraph" w:customStyle="1" w:styleId="p1">
    <w:name w:val="p1"/>
    <w:basedOn w:val="a"/>
    <w:rsid w:val="0091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16184"/>
  </w:style>
  <w:style w:type="paragraph" w:customStyle="1" w:styleId="p2">
    <w:name w:val="p2"/>
    <w:basedOn w:val="a"/>
    <w:rsid w:val="0091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6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86e2e88d9e61c0b8021d39a76555a9fd81184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2017-12-06T04:58:00Z</cp:lastPrinted>
  <dcterms:created xsi:type="dcterms:W3CDTF">2017-11-13T10:33:00Z</dcterms:created>
  <dcterms:modified xsi:type="dcterms:W3CDTF">2017-12-06T04:59:00Z</dcterms:modified>
</cp:coreProperties>
</file>