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B6" w:rsidRDefault="00A538B6" w:rsidP="00A538B6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21409A"/>
          <w:szCs w:val="28"/>
        </w:rPr>
        <w:t>ЗАКЛЮЧЕНИЕ</w:t>
      </w:r>
    </w:p>
    <w:p w:rsidR="00A538B6" w:rsidRDefault="00A538B6" w:rsidP="00A538B6">
      <w:pPr>
        <w:pStyle w:val="a3"/>
        <w:ind w:firstLine="0"/>
        <w:rPr>
          <w:rFonts w:ascii="PT Astra Serif" w:hAnsi="PT Astra Serif"/>
          <w:b/>
          <w:sz w:val="24"/>
          <w:szCs w:val="24"/>
          <w:highlight w:val="cyan"/>
        </w:rPr>
      </w:pPr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атмосферного воздуха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Суммарное количество выбросов загрязняющих веществ (ЗВ) в атмосферу</w:t>
      </w:r>
      <w:r>
        <w:rPr>
          <w:rFonts w:ascii="PT Astra Serif" w:hAnsi="PT Astra Serif"/>
          <w:bCs/>
        </w:rPr>
        <w:t xml:space="preserve"> на территории Саратовской области в 2022 году составило 261,28 тыс. т, в том числе: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стационарных источников – 118,1 тыс. т;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передвижных источников – 143,18 тыс. т., из них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автотранспорта – 138,15 тыс. т.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железнодорожного транспорта – 5,26 тыс. т.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выбросах от стационарных источников снизилось количество выбросов диоксида серы (на 2,4 %), диоксид азота (на 11%), твердые вещества (1,9%) Увеличилось количество выбросов твердых веществ (на 11%) и летучих органических соединений (13%). Увеличилось количество выбросов оксида углерода (на 5%), углеводородов (4%)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Наибольшая доля выбросов загрязняющих веществ в атмосферу приходится на предприятия, относящиеся по виду экономической деятельности к «деятельность сухопутного и трубопроводного транспорта» (это магистральные трубопроводы, проходящие по территории районов области, станции подземного хранения газа и др.) – 30,8 тыс. т (30,1%) от общего количества выбросов); предприятия по добычи сырой нефти и природного газа – 19,6 тыс. т (19%).</w:t>
      </w:r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водных ресурсов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</w:rPr>
        <w:t xml:space="preserve">Водный фонд области насчитывает около 3,5 тысячи поверхностных водоемов (водохранилищ, рек, прудов). Главной водной артерией области является р. Волга, представленная на территории области двумя водохранилищами (Саратовским и Волгоградским). </w:t>
      </w:r>
      <w:r>
        <w:rPr>
          <w:rFonts w:ascii="PT Astra Serif" w:hAnsi="PT Astra Serif"/>
        </w:rPr>
        <w:t>Также на территории области создано большое количество прудов и водохранилищ, которые аккумулируют в себе сток весеннего половодья, а также дождевые паводковые воды, которые затем используются на водоснабжение и орошение. В Левобережной части области пруды и водохранилища являются практически единственным источником водоснабжения населения, что подчеркивает их важное социально-экономическое значение.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Объем сброшенных сточных вод в поверхностные водные объекты в 2022 году составил 198,58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, в том числе: нормативно - чистой- 55,49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 нормативно - очищенной на сооружениях очистки- 47,34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</w:t>
      </w:r>
      <w:r>
        <w:rPr>
          <w:rFonts w:ascii="PT Astra Serif" w:hAnsi="PT Astra Serif"/>
        </w:rPr>
        <w:t xml:space="preserve"> з</w:t>
      </w:r>
      <w:r>
        <w:rPr>
          <w:rFonts w:ascii="PT Astra Serif" w:hAnsi="PT Astra Serif"/>
          <w:bCs/>
        </w:rPr>
        <w:t>агрязненной всего- 95,76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Объем сброса загрязненных сточных вод в поверхностные водоемы по сравнению с 2021 годом увеличился на 6,17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составил 95,76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, из них: 92,55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– недостаточно очищенные, 3,2 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– без очистки.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общий объем сброшенных в поверхностные водоемы сточных вод вносят предприятия, относящиеся к такому виду деятельности, как «забор, очистка и распределение воды», на долю которых приходится 63,0%.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Основной объем сброса сточных вод приходится на водные объекты бассейна реки Волги от верховий Куйбышевского водохранилища до впадения в Каспийское море– 197,57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Отходы производства и потребления</w:t>
      </w:r>
    </w:p>
    <w:p w:rsidR="00A538B6" w:rsidRDefault="00A538B6" w:rsidP="00A538B6">
      <w:pPr>
        <w:pStyle w:val="ConsPlusTitle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 w:val="0"/>
          <w:sz w:val="24"/>
          <w:szCs w:val="24"/>
        </w:rPr>
        <w:t xml:space="preserve">В 2022 году согласно данным федерального статистического наблюдения по форме    № 2-ТП (отходы) «Сведения об образовании, обработке, утилизации, обезвреживании, размещении отходов производства и потребления» на территории Саратовской области образовалось 6 960,7 тыс. т отходов. </w:t>
      </w:r>
    </w:p>
    <w:p w:rsidR="00A538B6" w:rsidRDefault="00A538B6" w:rsidP="00A538B6">
      <w:pPr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Основное количество образовавшихся отходов производства и потребления - 85,59% относится к 5 классу опасности для окружающей среды, на долю отходов 4 класса приходится - 12,51%, отходов 3 класса – 1,88%. Доля отходов 1 и 2 классов опасности </w:t>
      </w:r>
      <w:r>
        <w:rPr>
          <w:rFonts w:ascii="PT Astra Serif" w:hAnsi="PT Astra Serif"/>
        </w:rPr>
        <w:lastRenderedPageBreak/>
        <w:t xml:space="preserve">составляет лишь - 0,02% от общего количества образовавшихся на территории области отходов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общее количество образовавшихся отходов вносит такой многотоннажный отход, как фосфогипс, относящийся к 5 классу опасности для окружающей среды. Данный отход образуется при производстве фосфорной кислоты на Балаковском филиале АО «Апатит».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2022 году образовалось 5142,0 тыс. тонн фосфогипса, доля которого в общей массе образовавшихся отходов составляет 73,9%. Основная масса фосфогипса направляется на длительное хранение в открытый отвал на территории предприятия, в котором по состоянию на 31 декабря 2022 года накопилось 95,73 млн. тонн отходов.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2022 году в Саратовской области функционировало 11 объектов (полигонов) по размещению твердых коммунальных отходов, из них 10 полигонов ТКО внесены в государственный реестр объектов размещения отходов (ГРОРО) и 1 полигон ТКО (ООО «Коммунсервис») включен в Перечень объектов размещения твердых коммунальных отходов на территории Саратовской области с возможностью эксплуатации объекта до 01.01.2023 года. С 01.01.2023 года распоряжением министерства природных ресурсов и экологии Саратовской области от 29 декабря 2022 года №337 полигон твердых коммунальных отходов ООО «Коммунсервис» исключен из Перечня объектов размещения твердых коммунальных отходов.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эксплуатируются 2 мусороперерабатывающих комплекса (МПК) мощностью 150 тыс. тонн каждый (в Энгельсском и Балаковском районах); мусоросортировочный комплекс мощностью 80 тыс. тонн на полигоне ТКО МУП «Дорожник Заводского района»; на полигоне ООО «Вектор-Н» в 2022 году запущена мусоросортировочная линия мощностью 15 тыс. т. в год. Общая мощность объектов обработки ТКО составляет 395 тыс. тонн в год; 19 мусороперегрузочных станций (МПС), в том числе 2 МПС находятся в г. Саратове. </w:t>
      </w:r>
    </w:p>
    <w:p w:rsidR="00A538B6" w:rsidRDefault="00A538B6" w:rsidP="00A538B6">
      <w:pPr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Данные комплексы полностью оснащены техникой и современным оборудованием, имеют все необходимые элементы инфраструктуры. </w:t>
      </w:r>
    </w:p>
    <w:p w:rsidR="00A538B6" w:rsidRDefault="00A538B6" w:rsidP="00A538B6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земельных ресурсов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Земельный фонд С</w:t>
      </w:r>
      <w:r>
        <w:rPr>
          <w:rFonts w:ascii="PT Astra Serif" w:hAnsi="PT Astra Serif"/>
          <w:color w:val="000000"/>
        </w:rPr>
        <w:t>аратовской области составляет 10124,0 тыс. га или 101,2 тыс. кв. километров.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Распределение земель по категориям показывает преобладание в структуре земельного фонда области земель сельскохозяйственного назначения, на долю которых приходится 85,3% всего земельного фонда, а также земель лесного фонда – 6,1%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На территории Саратовской области сформировался ряд разнообразных почв, отличающихся между собой комплексом признаков. Соотношение типов почв в земельных ресурсах следующее: черноземных почв –</w:t>
      </w:r>
      <w:r>
        <w:rPr>
          <w:rFonts w:ascii="PT Astra Serif" w:hAnsi="PT Astra Serif"/>
          <w:color w:val="000000"/>
        </w:rPr>
        <w:t xml:space="preserve"> 50,4%; каштановых почв – 30,0%; солонцов – 11,5%; аллювиальных почв – 6,3% и прочих – 1,8%. Из всех земельных ресурсов области почвы тяжелого гранулометрического состава занимают 86%, среднесуглинистые почвы – 9%, почвы легкого гранулометрического состава – 5%. Содержание гумуса в почвах колеблется от 5,5-8,0% (в черноземах типичных и слабовыщелоченных) до 1,5-3,0% (в каштановых и светло-каштановых почвах).</w:t>
      </w:r>
    </w:p>
    <w:p w:rsidR="00A538B6" w:rsidRDefault="00A538B6" w:rsidP="00A538B6">
      <w:pPr>
        <w:pStyle w:val="a3"/>
        <w:suppressAutoHyphens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Загрязнение городских земель происходит в основном под воздействием выбросов вредных химических соединений промышленными предприятиями и транспортом, а также захламления почв и грунтов вследствие несанкционированного размещения отходов.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6E3D97" w:rsidRDefault="006E3D97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6E3D97" w:rsidRDefault="006E3D97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lastRenderedPageBreak/>
        <w:t>Использование полезных ископаемых и охрана недр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В Саратовской области к настоящему времени выявлено и разведано большое количество месторождений углеводородного сырья и твердых полезных ископаемых, однако степень вовлечения их в эксплуатацию и объемы добычи находятся на недостаточно высоком уровне. В результате в области существует дефицит щебня и бутового камня, крупнозернистых песков и строительной извести, не в полном объеме удовлетворяются потребности в сырье для производства керамзитового гравия, силикатного и глиняного кирпича.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По состоянию на 01.01.2023 года на государственном учете состоит 13 месторождений  минеральных подземных вод, балансовые запасы которых  составляют 2,11 </w:t>
      </w:r>
      <w:r>
        <w:rPr>
          <w:rFonts w:ascii="PT Astra Serif" w:hAnsi="PT Astra Serif"/>
          <w:bCs/>
          <w:color w:val="000000"/>
        </w:rPr>
        <w:t>тыс. м</w:t>
      </w:r>
      <w:r>
        <w:rPr>
          <w:rFonts w:ascii="PT Astra Serif" w:hAnsi="PT Astra Serif"/>
          <w:bCs/>
          <w:color w:val="000000"/>
          <w:vertAlign w:val="superscript"/>
        </w:rPr>
        <w:t>3</w:t>
      </w:r>
      <w:r>
        <w:rPr>
          <w:rFonts w:ascii="PT Astra Serif" w:hAnsi="PT Astra Serif"/>
          <w:bCs/>
          <w:color w:val="000000"/>
        </w:rPr>
        <w:t xml:space="preserve">/сут. (в том числе по категориям: А – 1,056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</w:t>
      </w:r>
      <w:r>
        <w:rPr>
          <w:rFonts w:ascii="PT Astra Serif" w:hAnsi="PT Astra Serif"/>
          <w:bCs/>
          <w:color w:val="000000"/>
        </w:rPr>
        <w:t xml:space="preserve">., В – 0,529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/сут., С</w:t>
      </w:r>
      <w:r>
        <w:rPr>
          <w:rFonts w:ascii="PT Astra Serif" w:hAnsi="PT Astra Serif"/>
          <w:color w:val="000000"/>
          <w:vertAlign w:val="subscript"/>
        </w:rPr>
        <w:t>1</w:t>
      </w:r>
      <w:r>
        <w:rPr>
          <w:rFonts w:ascii="PT Astra Serif" w:hAnsi="PT Astra Serif"/>
          <w:bCs/>
          <w:color w:val="000000"/>
        </w:rPr>
        <w:t xml:space="preserve"> – 0,525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/сут.).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из 13 месторождений (14 участков, водозаборов) минеральных подземных вод эксплуатируется 4 месторождения: Девичьегорское, Балаковское, Терновское и Саратовское (Стрелковый участок).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Наиболее широко используются в качестве источника водоснабжения подземные воды в Правобережье области и в полосе шириной от 20-30 до 70 км вдоль Волгоградского и Саратовского водохранилищ по Левобережью.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Крайне низка обеспеченность подземными водами районов Дальнего Заволжья, которые относятся к остродефицитной по водным ресурсам, засушливой климатической зоне. Подземные воды на этой территории являются преимущественно солоноватыми, с минерализацией до 6-8 г/дм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более. Пресные подземные воды, пригодные для водоснабжения населения, располагаются на ограниченных участках (в линзах), их запасы невелики. Доля использования подземных вод в общей структуре водопотребления недостаточна. Водоснабжение городских и сельских населенных пунктов там происходит в основном из поверхностных источников.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лесов и защитных насаждений</w:t>
      </w:r>
    </w:p>
    <w:p w:rsidR="00A538B6" w:rsidRDefault="00A538B6" w:rsidP="00A538B6">
      <w:pPr>
        <w:pStyle w:val="a5"/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Саратовская область относится к малолесным регионам</w:t>
      </w:r>
      <w:r>
        <w:rPr>
          <w:rFonts w:ascii="PT Astra Serif" w:hAnsi="PT Astra Serif"/>
          <w:bCs/>
        </w:rPr>
        <w:t>, средняя</w:t>
      </w:r>
      <w:r>
        <w:rPr>
          <w:rFonts w:ascii="PT Astra Serif" w:hAnsi="PT Astra Serif"/>
          <w:bCs/>
          <w:szCs w:val="20"/>
        </w:rPr>
        <w:t xml:space="preserve"> лесистость области составляет 6,3% (Заволжья – 2,0%, Правобережья – 11,6%).</w:t>
      </w:r>
      <w:r>
        <w:rPr>
          <w:rFonts w:ascii="PT Astra Serif" w:hAnsi="PT Astra Serif"/>
        </w:rPr>
        <w:t xml:space="preserve"> Леса области в современных границах сформировались после заполнения Волгоградского и Саратовского водохранилищ. Они располагаются в основном на повышенных водораздельных участках (плакорные) или по склонам и днищам балок (байрачные), кроме того, имеются пойменные леса и лесные колки. Под лесами остались в основном земли непригодные для сельского хозяйства (пески, щебенчатые почвы, крутосклоны).</w:t>
      </w:r>
    </w:p>
    <w:p w:rsidR="00A538B6" w:rsidRDefault="00A538B6" w:rsidP="00A538B6">
      <w:pPr>
        <w:suppressAutoHyphens/>
        <w:spacing w:line="270" w:lineRule="exact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Общая площадь земель лесного фонда Саратовской области на 01.01.2023 составляет 614,8 тыс. га. </w:t>
      </w:r>
    </w:p>
    <w:p w:rsidR="00A538B6" w:rsidRDefault="00A538B6" w:rsidP="00A538B6">
      <w:pPr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suppressAutoHyphens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Состояние животного мира, в том числе рыбных запасов</w:t>
      </w:r>
    </w:p>
    <w:p w:rsidR="00A538B6" w:rsidRDefault="00A538B6" w:rsidP="00A538B6">
      <w:pPr>
        <w:pStyle w:val="a3"/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В Саратовской области насчитывается более 30 тыс. видов беспозвоночных животных и около 500 видов позвоночных (из них более 70 видов рыб, 11 видов пресмыкающихся, 335 видов птиц, 84 вида млекопитающих). </w:t>
      </w:r>
    </w:p>
    <w:p w:rsidR="00A538B6" w:rsidRDefault="00A538B6" w:rsidP="00A538B6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обитает 37 видов млекопитающих и 44 вида птиц, отнесенных законодательством РФ к охотничьим ресурсам, из них к видам, в отношении которых утверждается лимит их добычи, относятся лось, олени, косуля сибирская, барсук.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В водоемах Саратовской области насчитывается более 70 видов рыб. Из них к</w:t>
      </w:r>
      <w:r>
        <w:rPr>
          <w:rFonts w:ascii="PT Astra Serif" w:hAnsi="PT Astra Serif"/>
          <w:bCs/>
        </w:rPr>
        <w:t xml:space="preserve"> промысловым рыбам относятся: лещ, густера, плотва, окунь, серебряный карась, судак, берш, щука, жерех, язь, чехонь, синец, сазан, белый амур, толстолобики (пестрый и белый), белоглазка, голавль, линь, красноперка, сом, налим и др.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lastRenderedPageBreak/>
        <w:t>Основу промысла составляют лещ, густера, плотва, окунь, серебряный карась, судак, щука, берш.</w:t>
      </w:r>
      <w:r>
        <w:rPr>
          <w:rFonts w:ascii="PT Astra Serif" w:hAnsi="PT Astra Serif"/>
          <w:bCs/>
        </w:rPr>
        <w:t xml:space="preserve"> На их долю приходится более 80% промыслового запаса и массы годового улова.</w:t>
      </w:r>
      <w:r>
        <w:rPr>
          <w:rFonts w:ascii="PT Astra Serif" w:hAnsi="PT Astra Serif"/>
        </w:rPr>
        <w:t xml:space="preserve"> Наибольшее значение для рыболовства имеют водные биоресурсы волжских водохранилищ – </w:t>
      </w:r>
      <w:r>
        <w:rPr>
          <w:rFonts w:ascii="PT Astra Serif" w:hAnsi="PT Astra Serif"/>
          <w:bCs/>
        </w:rPr>
        <w:t xml:space="preserve">Волгоградского и Саратовского.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 xml:space="preserve">Особо охраняемые природные территории </w:t>
      </w:r>
    </w:p>
    <w:p w:rsidR="00A538B6" w:rsidRDefault="00A538B6" w:rsidP="00A538B6">
      <w:r>
        <w:rPr>
          <w:rFonts w:ascii="PT Astra Serif" w:hAnsi="PT Astra Serif"/>
        </w:rPr>
        <w:t>Сеть особо охраняемых природных территорий (ООПТ) Саратовской области представлена национальным парком «Хвалынский», федеральным заказником «Саратовский», 87 особо охраняемыми природными территориями регионального значения (</w:t>
      </w:r>
      <w:r>
        <w:rPr>
          <w:rFonts w:ascii="PT Astra Serif" w:eastAsia="Lucida Sans Unicode" w:hAnsi="PT Astra Serif" w:cs="Tahoma"/>
          <w:lang w:eastAsia="ru-RU"/>
        </w:rPr>
        <w:t xml:space="preserve">85 памятника природы, 1 дендрологический парк, 1 ботанический сад) и 4 </w:t>
      </w:r>
      <w:r>
        <w:rPr>
          <w:rFonts w:ascii="PT Astra Serif" w:hAnsi="PT Astra Serif"/>
        </w:rPr>
        <w:t>особо охраняемыми природными территориями местного значения (на территории Ивантеевского района). Площадь, занимаемая ООПТ на территории области, составляет 146,2 тыс. га (1,46% от общей площади), в том числе ООПТ федерального значения – 70,3 тыс. га, регионального значения – 74,2 тыс. га, мес</w:t>
      </w:r>
      <w:bookmarkStart w:id="0" w:name="_GoBack"/>
      <w:bookmarkEnd w:id="0"/>
    </w:p>
    <w:p w:rsidR="00826F17" w:rsidRDefault="00826F17"/>
    <w:sectPr w:rsidR="00826F17" w:rsidSect="00A5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/>
  <w:rsids>
    <w:rsidRoot w:val="00A538B6"/>
    <w:rsid w:val="004806D5"/>
    <w:rsid w:val="004F23DA"/>
    <w:rsid w:val="006E3D97"/>
    <w:rsid w:val="00826F17"/>
    <w:rsid w:val="00853845"/>
    <w:rsid w:val="00A5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8B6"/>
    <w:pPr>
      <w:ind w:firstLine="720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538B6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A538B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A538B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1572</Words>
  <Characters>8963</Characters>
  <Application>Microsoft Office Word</Application>
  <DocSecurity>0</DocSecurity>
  <Lines>74</Lines>
  <Paragraphs>21</Paragraphs>
  <ScaleCrop>false</ScaleCrop>
  <Company>Microsoft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2023-10-02T13:04:00Z</dcterms:created>
  <dcterms:modified xsi:type="dcterms:W3CDTF">2023-10-02T13:04:00Z</dcterms:modified>
</cp:coreProperties>
</file>