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25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605C3" w:rsidRPr="00A00259">
        <w:rPr>
          <w:rFonts w:ascii="Times New Roman" w:hAnsi="Times New Roman" w:cs="Times New Roman"/>
          <w:b/>
          <w:sz w:val="28"/>
          <w:szCs w:val="28"/>
        </w:rPr>
        <w:t>08</w:t>
      </w:r>
      <w:r w:rsidR="00B048E0" w:rsidRPr="00A00259">
        <w:rPr>
          <w:rFonts w:ascii="Times New Roman" w:hAnsi="Times New Roman" w:cs="Times New Roman"/>
          <w:b/>
          <w:sz w:val="28"/>
          <w:szCs w:val="28"/>
        </w:rPr>
        <w:t>.07</w:t>
      </w:r>
      <w:r w:rsidRPr="00A00259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A00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A00259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A00259" w:rsidRPr="00A00259">
        <w:rPr>
          <w:rFonts w:ascii="Times New Roman" w:hAnsi="Times New Roman" w:cs="Times New Roman"/>
          <w:b/>
          <w:sz w:val="28"/>
          <w:szCs w:val="28"/>
        </w:rPr>
        <w:t>24</w:t>
      </w:r>
      <w:r w:rsidRPr="00A00259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683"/>
      </w:tblGrid>
      <w:tr w:rsidR="00734A44" w:rsidRPr="008605C3" w:rsidTr="008605C3">
        <w:trPr>
          <w:trHeight w:val="647"/>
        </w:trPr>
        <w:tc>
          <w:tcPr>
            <w:tcW w:w="7683" w:type="dxa"/>
          </w:tcPr>
          <w:p w:rsidR="00734A44" w:rsidRPr="008605C3" w:rsidRDefault="00734A44" w:rsidP="008605C3">
            <w:pPr>
              <w:jc w:val="both"/>
              <w:rPr>
                <w:rFonts w:ascii="Times New Roman CYR" w:eastAsia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8605C3">
              <w:rPr>
                <w:b/>
                <w:sz w:val="28"/>
                <w:szCs w:val="28"/>
              </w:rPr>
              <w:t xml:space="preserve"> </w:t>
            </w:r>
            <w:r w:rsidR="008605C3" w:rsidRPr="008605C3">
              <w:rPr>
                <w:rFonts w:ascii="Times New Roman CYR" w:eastAsia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Об утверждении Порядка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 </w:t>
            </w:r>
            <w:r w:rsidR="008605C3" w:rsidRPr="008605C3">
              <w:rPr>
                <w:rFonts w:ascii="Times New Roman" w:hAnsi="Times New Roman"/>
                <w:b/>
                <w:sz w:val="28"/>
                <w:szCs w:val="28"/>
              </w:rPr>
              <w:t>Новоселовского муниципального образования</w:t>
            </w: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5C3" w:rsidRDefault="008605C3" w:rsidP="00E84310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 соответствии с. п. 1, абз. 2 п. 3 ст.80 Бюджетного кодекса Российской Федерации, руководствуясь Федеральным законом от 6 октября 2003 года N 131-ФЗ "Об общих принципах организации местного самоуправления в Российской Федерации, Уставом Новоселовского муниципального образования, администрация Новоселовского муниципального образования</w:t>
      </w:r>
    </w:p>
    <w:p w:rsidR="00734A44" w:rsidRPr="00734A44" w:rsidRDefault="00734A44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8605C3" w:rsidRDefault="008605C3" w:rsidP="00E84310">
      <w:pPr>
        <w:spacing w:after="0"/>
        <w:ind w:firstLine="70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Новоселовского муниципального образования согласно приложению к настоящему постановлению.</w:t>
      </w:r>
    </w:p>
    <w:p w:rsidR="00E84310" w:rsidRDefault="008605C3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2. </w:t>
      </w:r>
      <w:r w:rsidR="00E84310" w:rsidRPr="005F4D0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CF5297" w:rsidRDefault="00E84310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CF5297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CF5297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CF5297" w:rsidRPr="005F4D0B" w:rsidRDefault="00E84310" w:rsidP="00E8431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</w:t>
      </w:r>
      <w:r w:rsidR="00CF5297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4E0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310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E324E0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324E0">
        <w:rPr>
          <w:rFonts w:ascii="Times New Roman" w:hAnsi="Times New Roman" w:cs="Times New Roman"/>
        </w:rPr>
        <w:t xml:space="preserve"> </w:t>
      </w:r>
    </w:p>
    <w:p w:rsidR="00192043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 </w:t>
      </w:r>
      <w:r w:rsidR="00192043">
        <w:rPr>
          <w:rFonts w:ascii="Times New Roman" w:hAnsi="Times New Roman" w:cs="Times New Roman"/>
        </w:rPr>
        <w:t>Новоселовского МО</w:t>
      </w:r>
    </w:p>
    <w:p w:rsidR="00E324E0" w:rsidRPr="00192043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A00259">
        <w:rPr>
          <w:rFonts w:ascii="Times New Roman" w:hAnsi="Times New Roman" w:cs="Times New Roman"/>
        </w:rPr>
        <w:t>от</w:t>
      </w:r>
      <w:r w:rsidR="00E84310" w:rsidRPr="00A00259">
        <w:rPr>
          <w:rFonts w:ascii="Times New Roman" w:hAnsi="Times New Roman" w:cs="Times New Roman"/>
        </w:rPr>
        <w:t>08</w:t>
      </w:r>
      <w:r w:rsidR="00192043" w:rsidRPr="00A00259">
        <w:rPr>
          <w:rFonts w:ascii="Times New Roman" w:hAnsi="Times New Roman" w:cs="Times New Roman"/>
        </w:rPr>
        <w:t>.07.2020</w:t>
      </w:r>
      <w:r w:rsidRPr="00A00259">
        <w:rPr>
          <w:rFonts w:ascii="Times New Roman" w:hAnsi="Times New Roman" w:cs="Times New Roman"/>
        </w:rPr>
        <w:t xml:space="preserve">года № </w:t>
      </w:r>
      <w:r w:rsidR="00A00259" w:rsidRPr="00A00259">
        <w:rPr>
          <w:rFonts w:ascii="Times New Roman" w:hAnsi="Times New Roman" w:cs="Times New Roman"/>
        </w:rPr>
        <w:t>24</w:t>
      </w:r>
    </w:p>
    <w:p w:rsidR="008605C3" w:rsidRDefault="008605C3" w:rsidP="00E84310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Порядок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br/>
        <w:t>принятия решения о предоставлении бюджетных инвестиций</w:t>
      </w:r>
    </w:p>
    <w:p w:rsidR="008605C3" w:rsidRDefault="008605C3" w:rsidP="00E84310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8605C3" w:rsidRDefault="008605C3" w:rsidP="00E84310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Новоселовского муниципального образования </w:t>
      </w:r>
    </w:p>
    <w:p w:rsidR="008605C3" w:rsidRDefault="008605C3" w:rsidP="00E84310">
      <w:pPr>
        <w:spacing w:before="108" w:after="108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1. Общие положения</w:t>
      </w:r>
    </w:p>
    <w:p w:rsidR="008605C3" w:rsidRDefault="008605C3" w:rsidP="00E84310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1.1. 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Новоселовского муниципального образования (далее - Порядок) разработан в целях реализации п. 1, абз. 2 п. 3 статьи 80 Бюджетного кодекса Российской Федерации.</w:t>
      </w:r>
    </w:p>
    <w:p w:rsidR="008605C3" w:rsidRDefault="008605C3" w:rsidP="00E84310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образования в уставных </w:t>
      </w:r>
      <w:r w:rsidRPr="000C0B94">
        <w:rPr>
          <w:rFonts w:ascii="Times New Roman" w:hAnsi="Times New Roman" w:cs="Times New Roman"/>
          <w:sz w:val="28"/>
          <w:szCs w:val="28"/>
        </w:rPr>
        <w:t>(складочных) капиталах таких юридических лиц в соответствии с </w:t>
      </w:r>
      <w:hyperlink r:id="rId8" w:anchor="/document/10164072/entry/214" w:history="1">
        <w:r w:rsidRPr="000C0B9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гражданским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> Российской Федерации. Оформление доли муниципального образования в уставном (складочном) капитале, принадлежащей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образованию, осуществляется в порядке и по ценам, которые определяются в соответствии с законодательством Российской Федерации.</w:t>
      </w:r>
    </w:p>
    <w:p w:rsidR="008605C3" w:rsidRDefault="008605C3" w:rsidP="00E84310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 форме постановления администрации Новоселовского муниципального образования.</w:t>
      </w:r>
    </w:p>
    <w:p w:rsidR="008605C3" w:rsidRDefault="008605C3" w:rsidP="00E8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8605C3" w:rsidRPr="00111373" w:rsidRDefault="008605C3" w:rsidP="00E8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73">
        <w:rPr>
          <w:rFonts w:ascii="Times New Roman" w:hAnsi="Times New Roman" w:cs="Times New Roman"/>
          <w:sz w:val="28"/>
          <w:szCs w:val="28"/>
        </w:rPr>
        <w:t xml:space="preserve">У поручателей субсидии должна отсутствовать просроченная задолженность по возврату в соответствующий бюджет бюджетной системы </w:t>
      </w:r>
      <w:r w:rsidRPr="0011137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субсидий, бюджетных инвестиций,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Федерации.</w:t>
      </w:r>
    </w:p>
    <w:p w:rsidR="008605C3" w:rsidRDefault="008605C3" w:rsidP="00E84310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приоритетов и целей, определенных в среднесрочных и долгосрочных документах (прогнозах и программах) социально-экономического развития Новоселовского муниципального образования, муниципальных программах Новоселовского муниципального образования;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оценки обоснованности и эффективности использования средств бюджета Новоселовского муниципального образования, направляемых на капитальные вложения.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приобретение земельных участков под строительство;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г) проведение проверки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Новоселовского муниципального образования.</w:t>
      </w:r>
    </w:p>
    <w:p w:rsidR="008605C3" w:rsidRDefault="008605C3" w:rsidP="0011137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2. Порядок принятия постановления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2.1. Инициаторами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Новоселовского муниципального образования (далее - </w:t>
      </w:r>
      <w:r w:rsidRPr="00A00259">
        <w:rPr>
          <w:rFonts w:ascii="Times New Roman CYR" w:eastAsia="Times New Roman CYR" w:hAnsi="Times New Roman CYR" w:cs="Times New Roman CYR"/>
          <w:sz w:val="28"/>
          <w:szCs w:val="28"/>
        </w:rPr>
        <w:t xml:space="preserve">Постановление) являются </w:t>
      </w:r>
      <w:r w:rsidRPr="00A00259">
        <w:rPr>
          <w:rFonts w:ascii="Times New Roman" w:eastAsia="Times New Roman CYR" w:hAnsi="Times New Roman" w:cs="Times New Roman"/>
          <w:sz w:val="28"/>
          <w:szCs w:val="28"/>
        </w:rPr>
        <w:t>специалисты,</w:t>
      </w:r>
      <w:r w:rsidRPr="00A00259">
        <w:rPr>
          <w:rFonts w:ascii="Times New Roman" w:hAnsi="Times New Roman" w:cs="Times New Roman"/>
          <w:sz w:val="28"/>
          <w:szCs w:val="28"/>
        </w:rPr>
        <w:t xml:space="preserve"> отвечающие за ведение вопросов малого и среднего бизнеса и финансового контроля администрации </w:t>
      </w:r>
      <w:r w:rsidRPr="00A00259">
        <w:rPr>
          <w:rFonts w:ascii="Times New Roman CYR" w:eastAsia="Times New Roman CYR" w:hAnsi="Times New Roman CYR" w:cs="Times New Roman CYR"/>
          <w:sz w:val="28"/>
          <w:szCs w:val="28"/>
        </w:rPr>
        <w:t>Новоселовского муниципального образования</w:t>
      </w:r>
      <w:r w:rsidRPr="00A00259">
        <w:rPr>
          <w:rFonts w:ascii="Times New Roman" w:hAnsi="Times New Roman" w:cs="Times New Roman"/>
          <w:sz w:val="28"/>
          <w:szCs w:val="28"/>
        </w:rPr>
        <w:t>, к сфере деятельности которых относится</w:t>
      </w:r>
      <w:r>
        <w:rPr>
          <w:rFonts w:ascii="Times New Roman" w:hAnsi="Times New Roman" w:cs="Times New Roman"/>
          <w:sz w:val="28"/>
          <w:szCs w:val="28"/>
        </w:rPr>
        <w:t xml:space="preserve"> создаваемый объект капитального строительства и (или) приобретаемый объект недвижимого имущества (далее - Специалисты).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2.2. Специалисты для оценки обоснованности и эффективности использования средств бюджета Новоселовского муниципального образования, направляемых на капитальные вложения, представляют проект решения с пояснительной запиской и финансово-экономическим обоснованием к нему в </w:t>
      </w: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 xml:space="preserve">финансовый отдел администрации </w:t>
      </w:r>
      <w:r w:rsidR="000C0B94" w:rsidRPr="000C0B94">
        <w:rPr>
          <w:rFonts w:ascii="Times New Roman CYR" w:eastAsia="Times New Roman CYR" w:hAnsi="Times New Roman CYR" w:cs="Times New Roman CYR"/>
          <w:sz w:val="28"/>
          <w:szCs w:val="28"/>
        </w:rPr>
        <w:t>Екатериновского</w:t>
      </w: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 xml:space="preserve"> муниципального </w:t>
      </w:r>
      <w:r w:rsidR="000C0B94" w:rsidRPr="000C0B94">
        <w:rPr>
          <w:rFonts w:ascii="Times New Roman CYR" w:eastAsia="Times New Roman CYR" w:hAnsi="Times New Roman CYR" w:cs="Times New Roman CYR"/>
          <w:sz w:val="28"/>
          <w:szCs w:val="28"/>
        </w:rPr>
        <w:t>района</w:t>
      </w: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>(далее - финансовый отдел) не позднее чем за два месяца до определенной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в установленном порядке даты начала рассмотрения проектировок бюджета Новоселовского муниципального образования на очередной финансовый год.</w:t>
      </w:r>
    </w:p>
    <w:p w:rsidR="008605C3" w:rsidRPr="000C0B94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2.3. Одновременно с документами, указанными в пункте 2.1 Порядка </w:t>
      </w: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>проведения проверки, Специалисты представляют в финансовый отдел следующие документы:</w:t>
      </w:r>
    </w:p>
    <w:p w:rsidR="008605C3" w:rsidRPr="000C0B94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8605C3" w:rsidRPr="000C0B94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0C0B94">
        <w:rPr>
          <w:rFonts w:ascii="Times New Roman CYR" w:eastAsia="Times New Roman CYR" w:hAnsi="Times New Roman CYR" w:cs="Times New Roman CYR"/>
          <w:sz w:val="28"/>
          <w:szCs w:val="28"/>
        </w:rPr>
        <w:t>2.4. Финансовый отдел проводит оценку обоснованности и эффективности использования средств бюджета Новоселовского муниципального образования, направляемых на капитальные вложения, в соответствии с Методикой оценки обоснованности и эффективности использования средств бюджета Новоселовского муниципального образования, направляемых на капитальные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 Новоселовского муниципального образования, направляемых на капитальные вложения, Специалистам.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2.5. При положительном заключении, указанном в пункте 2.4 Порядк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а, Специалисты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разрабатывают проект Постановления и согласовывает его в установленном порядке.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2.6. 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наименование юридического лица;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г)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д) срок ввода в эксплуатацию объекта капитального строительства и (или) приобретения объекта недвижимости;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з) общий (предельный) объем бюджетных инвестиций, предоставляемых на реализацию инвестиционного проекта, а также его распределение по годам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>реализации инвестиционного проекта (в ценах соответствующих лет реализации инвестиционного проекта);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проектом Постановления подготавливается проект договора о предоставлении бюджетных инвестиций,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, за счет средств бюджета Новоселовского муниципального образования, установленными настоящим Порядком.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2.8. 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за счет средств бюджета Новоселовского муниципального образования осуществляется на основании договора, оформленного в соответствии с требованиями к договорам о предоставлении бюджетных инвестиций юридическим лицам,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2.9. 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8605C3" w:rsidRDefault="008605C3" w:rsidP="0011137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3. Порядок оформления договора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</w:t>
      </w:r>
    </w:p>
    <w:p w:rsidR="008605C3" w:rsidRDefault="008605C3" w:rsidP="00111373">
      <w:pPr>
        <w:spacing w:after="0" w:line="240" w:lineRule="auto"/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3.2. Договор оформляется администрацией Новоселовского муниципального образования в течение трех месяцев после дня вступления в силу решения о бюджете Новоселовского муниципального образования на соответствующий финансовый год.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3.3.</w:t>
      </w:r>
      <w:bookmarkStart w:id="0" w:name="sub_1003"/>
      <w:r>
        <w:rPr>
          <w:rFonts w:ascii="Times New Roman" w:hAnsi="Times New Roman" w:cs="Times New Roman"/>
          <w:sz w:val="28"/>
          <w:szCs w:val="28"/>
        </w:rPr>
        <w:t>Договором о предоставлении бюджетных инвестиций предусматриваются:</w:t>
      </w:r>
    </w:p>
    <w:bookmarkEnd w:id="0"/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бюджетных инвестиций и их объем (с распределением по годам);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предоставления бюджетных инвестиций (далее - показатели результативности) и их значения;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договора о предоставлении бюджетных инвестиций и порядок взаимодействия сторон при его реализации;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являющегося акционерным обществом, путем размещения дополнительных акций на сумму предоставляемых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порядок, объемы и сроки (порядок определения сроков) оплаты акций (долей) в уставном (складочном) капитале юридического лица, получающего </w:t>
      </w:r>
      <w:r w:rsidRPr="000C0B94">
        <w:rPr>
          <w:rFonts w:ascii="Times New Roman" w:hAnsi="Times New Roman" w:cs="Times New Roman"/>
          <w:sz w:val="28"/>
          <w:szCs w:val="28"/>
        </w:rPr>
        <w:t>бюджетные инвестиции;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перечисление бюджетных инвестиций в соответствии с </w:t>
      </w:r>
      <w:hyperlink r:id="rId9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бюджетным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процесса, в случаях, установленных бюджетным законодательством Российской Федерации;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зачислению (списанию) средств на счет, указанный в </w:t>
      </w:r>
      <w:hyperlink w:anchor="sub_10036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"е"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 условие об осуществлении операций по списанию средств, отраженных </w:t>
      </w:r>
      <w:r w:rsidRPr="000C0B94">
        <w:rPr>
          <w:rFonts w:ascii="Times New Roman" w:hAnsi="Times New Roman" w:cs="Times New Roman"/>
          <w:sz w:val="28"/>
          <w:szCs w:val="28"/>
        </w:rPr>
        <w:t xml:space="preserve">на лицевом счете, указанном в </w:t>
      </w:r>
      <w:hyperlink w:anchor="sub_1003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</w:t>
      </w:r>
      <w:hyperlink r:id="rId10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валютным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</w:t>
      </w:r>
      <w:hyperlink r:id="rId11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бюджетным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к) порядок и сроки представления юридическим лицом, получающим бюджетные инвестиции, установленной местным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значений показателей результативности;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л) право местного органа исполнительной власти, предоставляющего бюджетные инвестиции, на проведение проверок соблюдения юридическим </w:t>
      </w:r>
      <w:r w:rsidRPr="000C0B94">
        <w:rPr>
          <w:rFonts w:ascii="Times New Roman" w:hAnsi="Times New Roman" w:cs="Times New Roman"/>
          <w:sz w:val="28"/>
          <w:szCs w:val="28"/>
        </w:rPr>
        <w:lastRenderedPageBreak/>
        <w:t>лицом, получающим бюджетные инвестиции, целей, условий и порядка предоставления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м) 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н) 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4. 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 (или) приобретение юридическим лицом, получающим бюджетные инвестиции, объектов недвижимого имущества помимо положений, указанных в </w:t>
      </w:r>
      <w:hyperlink w:anchor="sub_1003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пункте 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также предусматриваются: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а) наименование каждого объекта капитального строительства и 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б) 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(нормативным правовым актом) местного органа исполнительной власти о предоставлении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в) 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местным органом исполнительной власти  порядке проверки достоверности определения сметной стоимости объектов капитального строительства, а также проведение в установленных местным органом исполнительной власти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г) 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</w:t>
      </w:r>
      <w:hyperlink r:id="rId12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Pr="000C0B94">
        <w:rPr>
          <w:rFonts w:ascii="Times New Roman" w:hAnsi="Times New Roman" w:cs="Times New Roman"/>
          <w:sz w:val="28"/>
          <w:szCs w:val="28"/>
        </w:rPr>
        <w:lastRenderedPageBreak/>
        <w:t>(в случае реализации инвестиционных проектов по строительству, реконструкции и техническому перевооружению объектов капитального строительства);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5. 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6. 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 (или) вкладов в имущество дочерних обществ, не увеличивающих их уставный (складочный) капитал (далее - взносы (вклады), помимо положений, указанных в </w:t>
      </w:r>
      <w:hyperlink w:anchor="sub_1003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пункте 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также предусматриваются: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а) наименования дочерних обществ;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б) 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в) 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г) положение о представлении юридическим лицом, получающим бюджетные инвестиции, в составе отчетности, указанной в </w:t>
      </w:r>
      <w:hyperlink w:anchor="sub_100310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 "к" пункта 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информации об использовании дочерними обществами полученных средств;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д) положения о предоставлении взносов (вкладов) на условиях, предусматривающих право местного органа исполнительной власти, предоставляющего бюджетные инвестиции, на проведение в отношении дочерних обществ проверок, предусмотренных </w:t>
      </w:r>
      <w:hyperlink w:anchor="sub_100311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подпунктом "л" пункта 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е) 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6.1. Договором о предоставлении бюджетных инвестиций в целях последующего предоставления взносов в уставные (складочные) капиталы </w:t>
      </w:r>
      <w:r w:rsidRPr="000C0B94">
        <w:rPr>
          <w:rFonts w:ascii="Times New Roman" w:hAnsi="Times New Roman" w:cs="Times New Roman"/>
          <w:sz w:val="28"/>
          <w:szCs w:val="28"/>
        </w:rPr>
        <w:lastRenderedPageBreak/>
        <w:t xml:space="preserve">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</w:t>
      </w:r>
      <w:hyperlink w:anchor="sub_1003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пункте 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041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подпунктах "а" - "в" пункта 4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6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пункте 6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Положения указанного договора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7. Договором между юридическим лицом, получающим бюджетные инвестиции, и дочерним обществом о предоставлении взноса (вклада), указанным в </w:t>
      </w:r>
      <w:hyperlink w:anchor="sub_10066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 "е" пункта 6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предусматриваются: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а) целевое назначение взноса (вклада) и его объем (с распределением по годам);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б) показатели результативности и их значения;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д) сроки перечисления взноса (вклада);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sub_1003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 пункта 3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на счете, открытом соответствующему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списанию средств со счета, указанного в </w:t>
      </w:r>
      <w:hyperlink w:anchor="sub_10076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"е"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Федеральным казначейством;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з) условие об осуществлении операций по списанию средств, отраженных на лицевом счете, указанном в </w:t>
      </w:r>
      <w:hyperlink w:anchor="sub_1007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общества, источником финансового обеспечения которых являются указанные средства;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на приобретение дочерним обществом за счет полученных средств, отраженных на лицевом счете, указанном в </w:t>
      </w:r>
      <w:hyperlink w:anchor="sub_1007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пункта, иностранной валюты, за исключением случаев, предусмотренных договором о </w:t>
      </w:r>
      <w:r w:rsidRPr="000C0B9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бюджетных инвестиций в отношении операций, осуществляемых в соответствии с </w:t>
      </w:r>
      <w:hyperlink r:id="rId13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валютным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органа местного самоуправления, в том числе в случаях, установленных в соответствии с </w:t>
      </w:r>
      <w:hyperlink r:id="rId14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бюджетным законодательством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взносов (вкладов);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к) 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л) право юридического лица, получающего бюджетные инвестиции, и местного органа исполнительной власти,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м) 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средств в случае установления факта несоблюдения им целей и условий, определенных указанным договором.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7.1.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 помимо положений, указанных в </w:t>
      </w:r>
      <w:hyperlink w:anchor="sub_100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пункте 7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также предусматриваются: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(с распределением указанных объемов по годам);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инвестиции в объеме, предусмотренном принятым в порядке решением (нормативным правовым актом) о предоставлении бюджетных инвестиций;</w:t>
      </w:r>
    </w:p>
    <w:p w:rsidR="008605C3" w:rsidRPr="000C0B94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обязанность дочернего общества обеспечить выполнение работ, </w:t>
      </w:r>
      <w:r w:rsidRPr="000C0B9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sub_10043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"в" пункта 4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</w:t>
      </w:r>
      <w:hyperlink w:anchor="sub_1007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 пункта 7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B94">
        <w:rPr>
          <w:rFonts w:ascii="Times New Roman" w:hAnsi="Times New Roman" w:cs="Times New Roman"/>
          <w:sz w:val="28"/>
          <w:szCs w:val="28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</w:t>
      </w:r>
      <w:hyperlink w:anchor="sub_10077" w:history="1">
        <w:r w:rsidRPr="000C0B94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подпункте "ж" пункта 7</w:t>
        </w:r>
      </w:hyperlink>
      <w:r w:rsidRPr="000C0B94">
        <w:rPr>
          <w:rFonts w:ascii="Times New Roman" w:hAnsi="Times New Roman" w:cs="Times New Roman"/>
          <w:sz w:val="28"/>
          <w:szCs w:val="28"/>
        </w:rPr>
        <w:t xml:space="preserve"> </w:t>
      </w:r>
      <w:r w:rsidRPr="000C0B94">
        <w:rPr>
          <w:rFonts w:ascii="Times New Roman" w:hAnsi="Times New Roman" w:cs="Times New Roman"/>
          <w:sz w:val="28"/>
          <w:szCs w:val="28"/>
        </w:rPr>
        <w:lastRenderedPageBreak/>
        <w:t>настоящего документа, положений, установленных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 строительства).</w:t>
      </w:r>
    </w:p>
    <w:p w:rsidR="008605C3" w:rsidRDefault="008605C3" w:rsidP="00111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Положения договоров о предоставлении взноса (вклада) должны соответствовать аналогичным положениям договоров о предоставлении бюджетных инвестиций.</w:t>
      </w:r>
    </w:p>
    <w:p w:rsidR="00E324E0" w:rsidRDefault="00E324E0" w:rsidP="00E84310">
      <w:pPr>
        <w:spacing w:after="0" w:line="240" w:lineRule="auto"/>
        <w:ind w:hanging="15"/>
        <w:jc w:val="center"/>
      </w:pPr>
    </w:p>
    <w:sectPr w:rsidR="00E324E0" w:rsidSect="008605C3">
      <w:footerReference w:type="default" r:id="rId15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35" w:rsidRDefault="009D6235" w:rsidP="00916895">
      <w:pPr>
        <w:spacing w:after="0" w:line="240" w:lineRule="auto"/>
      </w:pPr>
      <w:r>
        <w:separator/>
      </w:r>
    </w:p>
  </w:endnote>
  <w:endnote w:type="continuationSeparator" w:id="1">
    <w:p w:rsidR="009D6235" w:rsidRDefault="009D6235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95" w:rsidRDefault="00916895" w:rsidP="00B048E0">
    <w:pPr>
      <w:pStyle w:val="a9"/>
      <w:jc w:val="center"/>
    </w:pPr>
  </w:p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35" w:rsidRDefault="009D6235" w:rsidP="00916895">
      <w:pPr>
        <w:spacing w:after="0" w:line="240" w:lineRule="auto"/>
      </w:pPr>
      <w:r>
        <w:separator/>
      </w:r>
    </w:p>
  </w:footnote>
  <w:footnote w:type="continuationSeparator" w:id="1">
    <w:p w:rsidR="009D6235" w:rsidRDefault="009D6235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C0B94"/>
    <w:rsid w:val="000F702A"/>
    <w:rsid w:val="00111373"/>
    <w:rsid w:val="001425DD"/>
    <w:rsid w:val="001814E2"/>
    <w:rsid w:val="00185328"/>
    <w:rsid w:val="00192043"/>
    <w:rsid w:val="001C5319"/>
    <w:rsid w:val="001D2EB9"/>
    <w:rsid w:val="0023302D"/>
    <w:rsid w:val="0023728A"/>
    <w:rsid w:val="002735F4"/>
    <w:rsid w:val="002B2D8F"/>
    <w:rsid w:val="002F3CB0"/>
    <w:rsid w:val="0033236E"/>
    <w:rsid w:val="003A6461"/>
    <w:rsid w:val="003C07ED"/>
    <w:rsid w:val="004E16E8"/>
    <w:rsid w:val="005160D6"/>
    <w:rsid w:val="00527E5D"/>
    <w:rsid w:val="0056744B"/>
    <w:rsid w:val="005E7581"/>
    <w:rsid w:val="00610BF6"/>
    <w:rsid w:val="006E12DC"/>
    <w:rsid w:val="006E71E2"/>
    <w:rsid w:val="00734A44"/>
    <w:rsid w:val="00747084"/>
    <w:rsid w:val="00784F5E"/>
    <w:rsid w:val="008605C3"/>
    <w:rsid w:val="008646C1"/>
    <w:rsid w:val="008D388D"/>
    <w:rsid w:val="00916895"/>
    <w:rsid w:val="00955DE1"/>
    <w:rsid w:val="009A5086"/>
    <w:rsid w:val="009B27AC"/>
    <w:rsid w:val="009D6235"/>
    <w:rsid w:val="00A00259"/>
    <w:rsid w:val="00A221E7"/>
    <w:rsid w:val="00A31637"/>
    <w:rsid w:val="00A94F8A"/>
    <w:rsid w:val="00AD12FA"/>
    <w:rsid w:val="00AF72A8"/>
    <w:rsid w:val="00B048E0"/>
    <w:rsid w:val="00B25D72"/>
    <w:rsid w:val="00B42F88"/>
    <w:rsid w:val="00C11A02"/>
    <w:rsid w:val="00C15A0E"/>
    <w:rsid w:val="00C7065A"/>
    <w:rsid w:val="00CC479E"/>
    <w:rsid w:val="00CF5297"/>
    <w:rsid w:val="00D94967"/>
    <w:rsid w:val="00DD1A2D"/>
    <w:rsid w:val="00DD39F6"/>
    <w:rsid w:val="00E324E0"/>
    <w:rsid w:val="00E84310"/>
    <w:rsid w:val="00ED2F3B"/>
    <w:rsid w:val="00F0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document?id=12033556&amp;sub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0253464&amp;sub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12604&amp;sub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document?id=12033556&amp;sub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12604&amp;sub=2" TargetMode="External"/><Relationship Id="rId14" Type="http://schemas.openxmlformats.org/officeDocument/2006/relationships/hyperlink" Target="http://mobileonline.garant.ru/document?id=12012604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2020-07-16T05:17:00Z</cp:lastPrinted>
  <dcterms:created xsi:type="dcterms:W3CDTF">2020-06-28T10:34:00Z</dcterms:created>
  <dcterms:modified xsi:type="dcterms:W3CDTF">2020-07-16T05:17:00Z</dcterms:modified>
</cp:coreProperties>
</file>