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77" w:rsidRDefault="00F14777" w:rsidP="00F14777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14777" w:rsidRDefault="00F14777" w:rsidP="00F14777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               ОБРАЗОВАНИЯ</w:t>
      </w:r>
    </w:p>
    <w:p w:rsidR="00F14777" w:rsidRDefault="00F14777" w:rsidP="00F14777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F14777" w:rsidRDefault="00F14777" w:rsidP="00F1477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Второе  заседание Совета депутатов Крутоярского </w:t>
      </w:r>
    </w:p>
    <w:p w:rsidR="00F14777" w:rsidRDefault="00F14777" w:rsidP="00F1477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14777" w:rsidRDefault="00F14777" w:rsidP="00F14777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F14777" w:rsidRDefault="00F14777" w:rsidP="00F1477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777" w:rsidRDefault="00F14777" w:rsidP="00F14777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14777" w:rsidRDefault="00F14777" w:rsidP="00F1477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777" w:rsidRDefault="00F14777" w:rsidP="00F14777">
      <w:pPr>
        <w:pStyle w:val="Standard"/>
        <w:spacing w:after="0" w:line="240" w:lineRule="auto"/>
        <w:jc w:val="both"/>
      </w:pPr>
      <w:r w:rsidRPr="00C50DC3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09</w:t>
      </w:r>
      <w:r w:rsidRPr="00C50D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октября</w:t>
      </w:r>
      <w:r w:rsidRPr="00C50DC3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C50DC3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№ 9</w:t>
      </w:r>
    </w:p>
    <w:p w:rsidR="00F14777" w:rsidRDefault="00F14777" w:rsidP="00F14777">
      <w:pPr>
        <w:pStyle w:val="a3"/>
        <w:shd w:val="clear" w:color="auto" w:fill="FFFFFF"/>
        <w:spacing w:before="0" w:after="0"/>
        <w:rPr>
          <w:rFonts w:ascii="Calibri" w:eastAsia="F" w:hAnsi="Calibri" w:cs="F"/>
          <w:sz w:val="22"/>
          <w:szCs w:val="22"/>
        </w:rPr>
      </w:pPr>
    </w:p>
    <w:p w:rsidR="00F14777" w:rsidRPr="00890746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  <w:r w:rsidRPr="00890746">
        <w:rPr>
          <w:rFonts w:eastAsia="F"/>
          <w:b/>
          <w:sz w:val="28"/>
          <w:szCs w:val="28"/>
        </w:rPr>
        <w:t>О внесении изменений в решение Совета депутатов Крутоярского муниципального образования №149 от 09.01.2018 г. «</w:t>
      </w:r>
      <w:r>
        <w:rPr>
          <w:b/>
          <w:bCs/>
          <w:color w:val="000000"/>
          <w:sz w:val="28"/>
          <w:szCs w:val="28"/>
        </w:rPr>
        <w:t xml:space="preserve">Об оплате труда работников, </w:t>
      </w:r>
      <w:r w:rsidRPr="00890746">
        <w:rPr>
          <w:b/>
          <w:bCs/>
          <w:color w:val="000000"/>
          <w:sz w:val="28"/>
          <w:szCs w:val="28"/>
        </w:rPr>
        <w:t>занимающих должности, не являющиеся                                                     должностями муниципальной службы,                                                                           и осуществляющих техническое обеспечение                                              деятельности органов местного самоуправления                                Крутоярского муниципального образования»</w:t>
      </w:r>
    </w:p>
    <w:p w:rsidR="00F14777" w:rsidRDefault="00F14777" w:rsidP="00F14777">
      <w:pPr>
        <w:pStyle w:val="a3"/>
        <w:shd w:val="clear" w:color="auto" w:fill="FFFFFF"/>
        <w:spacing w:before="0" w:after="0"/>
      </w:pPr>
    </w:p>
    <w:p w:rsidR="00F14777" w:rsidRDefault="00F14777" w:rsidP="00F14777">
      <w:pPr>
        <w:pStyle w:val="a3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          В соответствии с Федеральным Законом от 6 октября 2003 года № 131 ФЗ «Об общих принципах организации местного самоуправления в Российской Федерации», Устава Крутоярского муниципального образования, Совет депутатов Крутоярского муниципального образования</w:t>
      </w: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</w:t>
      </w:r>
    </w:p>
    <w:p w:rsidR="00F14777" w:rsidRDefault="00F14777" w:rsidP="00F14777">
      <w:pPr>
        <w:pStyle w:val="a3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7"/>
          <w:szCs w:val="27"/>
        </w:rPr>
        <w:t>РЕШИЛ:</w:t>
      </w:r>
    </w:p>
    <w:p w:rsidR="00F14777" w:rsidRDefault="00F14777" w:rsidP="00F14777">
      <w:pPr>
        <w:pStyle w:val="Standard"/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F22F1">
        <w:rPr>
          <w:rFonts w:ascii="Times New Roman" w:hAnsi="Times New Roman" w:cs="Times New Roman"/>
          <w:color w:val="000000"/>
          <w:sz w:val="27"/>
          <w:szCs w:val="27"/>
        </w:rPr>
        <w:t>1.Приложение №2 к решению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администрации» </w:t>
      </w:r>
      <w:r w:rsidRP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изложить в новой редакции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  <w:bookmarkStart w:id="0" w:name="_GoBack"/>
      <w:bookmarkEnd w:id="0"/>
    </w:p>
    <w:p w:rsidR="00F14777" w:rsidRDefault="00F14777" w:rsidP="00F14777">
      <w:pPr>
        <w:pStyle w:val="Standard"/>
        <w:shd w:val="clear" w:color="auto" w:fill="FFFFFF"/>
        <w:spacing w:before="280" w:after="0" w:line="240" w:lineRule="auto"/>
        <w:ind w:left="28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F14777" w:rsidRDefault="00F14777" w:rsidP="00F14777">
      <w:pPr>
        <w:pStyle w:val="Standard"/>
        <w:shd w:val="clear" w:color="auto" w:fill="FFFFFF"/>
        <w:spacing w:before="280" w:after="0" w:line="240" w:lineRule="auto"/>
        <w:ind w:left="288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F14777" w:rsidRDefault="00F14777" w:rsidP="00F14777">
      <w:pPr>
        <w:pStyle w:val="Standard"/>
        <w:shd w:val="clear" w:color="auto" w:fill="FFFFFF"/>
        <w:spacing w:before="280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9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49"/>
        <w:gridCol w:w="4646"/>
      </w:tblGrid>
      <w:tr w:rsidR="00F14777" w:rsidTr="00DA3C51">
        <w:trPr>
          <w:trHeight w:val="759"/>
        </w:trPr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777" w:rsidRPr="00DA3C51" w:rsidRDefault="00F14777" w:rsidP="001A4E1E">
            <w:pPr>
              <w:pStyle w:val="Standard"/>
              <w:spacing w:before="280" w:after="280" w:line="240" w:lineRule="auto"/>
              <w:ind w:left="288"/>
              <w:jc w:val="center"/>
              <w:rPr>
                <w:sz w:val="24"/>
                <w:szCs w:val="24"/>
              </w:rPr>
            </w:pPr>
            <w:r w:rsidRPr="00DA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777" w:rsidRPr="00DA3C51" w:rsidRDefault="00F14777" w:rsidP="001A4E1E">
            <w:pPr>
              <w:pStyle w:val="Standard"/>
              <w:spacing w:before="280" w:after="280" w:line="240" w:lineRule="auto"/>
              <w:ind w:left="288"/>
              <w:jc w:val="center"/>
              <w:rPr>
                <w:sz w:val="24"/>
                <w:szCs w:val="24"/>
              </w:rPr>
            </w:pPr>
            <w:r w:rsidRPr="00DA3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Размеры должностного оклада (руб./мес.)</w:t>
            </w:r>
          </w:p>
        </w:tc>
      </w:tr>
      <w:tr w:rsidR="00F14777" w:rsidTr="00DA3C51">
        <w:trPr>
          <w:trHeight w:val="560"/>
        </w:trPr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777" w:rsidRDefault="00F14777" w:rsidP="001A4E1E">
            <w:pPr>
              <w:pStyle w:val="Standard"/>
              <w:spacing w:before="280" w:after="280" w:line="240" w:lineRule="auto"/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777" w:rsidRDefault="00F14777" w:rsidP="001A4E1E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3339,00</w:t>
            </w:r>
          </w:p>
        </w:tc>
      </w:tr>
    </w:tbl>
    <w:p w:rsidR="00F14777" w:rsidRDefault="00F14777" w:rsidP="00F14777">
      <w:pPr>
        <w:pStyle w:val="Standard"/>
        <w:shd w:val="clear" w:color="auto" w:fill="FFFFFF"/>
        <w:spacing w:before="280" w:after="0" w:line="240" w:lineRule="auto"/>
        <w:jc w:val="both"/>
      </w:pPr>
    </w:p>
    <w:p w:rsidR="00F14777" w:rsidRDefault="00F14777" w:rsidP="00F14777">
      <w:pPr>
        <w:pStyle w:val="a3"/>
        <w:shd w:val="clear" w:color="auto" w:fill="FFFFFF"/>
        <w:spacing w:before="0" w:after="0"/>
      </w:pPr>
      <w:r>
        <w:rPr>
          <w:color w:val="000000"/>
          <w:sz w:val="27"/>
          <w:szCs w:val="27"/>
        </w:rPr>
        <w:lastRenderedPageBreak/>
        <w:t xml:space="preserve">2.Настоящее решение вступает в силу со дня его обнародования. И распространяется на </w:t>
      </w:r>
      <w:proofErr w:type="gramStart"/>
      <w:r>
        <w:rPr>
          <w:color w:val="000000"/>
          <w:sz w:val="27"/>
          <w:szCs w:val="27"/>
        </w:rPr>
        <w:t>правоотношения</w:t>
      </w:r>
      <w:proofErr w:type="gramEnd"/>
      <w:r>
        <w:rPr>
          <w:color w:val="000000"/>
          <w:sz w:val="27"/>
          <w:szCs w:val="27"/>
        </w:rPr>
        <w:t xml:space="preserve"> возникшие с 1 октября 2023 года.</w:t>
      </w:r>
    </w:p>
    <w:p w:rsidR="00F14777" w:rsidRDefault="00F14777" w:rsidP="00F14777">
      <w:pPr>
        <w:pStyle w:val="a3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3. </w:t>
      </w:r>
      <w:r>
        <w:rPr>
          <w:color w:val="000000"/>
          <w:sz w:val="28"/>
          <w:szCs w:val="28"/>
        </w:rPr>
        <w:t xml:space="preserve">Обнародовать </w:t>
      </w:r>
      <w:r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Глава Крутоярского</w:t>
      </w:r>
    </w:p>
    <w:p w:rsidR="00F14777" w:rsidRDefault="00F14777" w:rsidP="00F14777">
      <w:pPr>
        <w:pStyle w:val="a3"/>
        <w:shd w:val="clear" w:color="auto" w:fill="FFFFFF"/>
        <w:spacing w:before="0" w:after="0"/>
      </w:pPr>
      <w:r>
        <w:rPr>
          <w:b/>
          <w:bCs/>
          <w:color w:val="000000"/>
          <w:sz w:val="27"/>
          <w:szCs w:val="27"/>
        </w:rPr>
        <w:t>муниципального образования                                               Е.Н. Иванова</w:t>
      </w: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a3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F14777" w:rsidRDefault="00F14777" w:rsidP="00F14777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4777" w:rsidRDefault="00F14777" w:rsidP="00F14777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B078B" w:rsidRDefault="00597B46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/>
    <w:p w:rsidR="00DA3C51" w:rsidRDefault="00DA3C51" w:rsidP="00DA3C51">
      <w:pPr>
        <w:autoSpaceDE w:val="0"/>
        <w:adjustRightInd w:val="0"/>
        <w:ind w:left="4678" w:firstLine="56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>
        <w:rPr>
          <w:rFonts w:ascii="Segoe UI Symbol" w:hAnsi="Segoe UI Symbol" w:cs="Segoe UI Symbol"/>
          <w:b/>
          <w:bCs/>
        </w:rPr>
        <w:t>№</w:t>
      </w:r>
      <w:r w:rsidRPr="00CD7CFB">
        <w:rPr>
          <w:rFonts w:ascii="Times New Roman" w:hAnsi="Times New Roman" w:cs="Times New Roman"/>
          <w:b/>
          <w:bCs/>
        </w:rPr>
        <w:t xml:space="preserve"> 1          </w:t>
      </w:r>
    </w:p>
    <w:p w:rsidR="00DA3C51" w:rsidRPr="00CD7CFB" w:rsidRDefault="00DA3C51" w:rsidP="00DA3C51">
      <w:pPr>
        <w:autoSpaceDE w:val="0"/>
        <w:adjustRightInd w:val="0"/>
        <w:ind w:left="4678" w:firstLine="56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к решению Совета депутатов                          Крутоярского муниципального образования                                            от </w:t>
      </w:r>
      <w:r w:rsidRPr="00CD7CFB">
        <w:rPr>
          <w:rFonts w:ascii="Times New Roman" w:hAnsi="Times New Roman" w:cs="Times New Roman"/>
          <w:b/>
          <w:bCs/>
        </w:rPr>
        <w:t xml:space="preserve">«09» </w:t>
      </w:r>
      <w:r>
        <w:rPr>
          <w:rFonts w:ascii="Times New Roman" w:hAnsi="Times New Roman" w:cs="Times New Roman"/>
          <w:b/>
          <w:bCs/>
        </w:rPr>
        <w:t xml:space="preserve">января 2018 года </w:t>
      </w:r>
      <w:r>
        <w:rPr>
          <w:rFonts w:ascii="Segoe UI Symbol" w:hAnsi="Segoe UI Symbol" w:cs="Segoe UI Symbol"/>
          <w:b/>
          <w:bCs/>
        </w:rPr>
        <w:t>№</w:t>
      </w:r>
      <w:r w:rsidRPr="00CD7CFB">
        <w:rPr>
          <w:rFonts w:ascii="Times New Roman" w:hAnsi="Times New Roman" w:cs="Times New Roman"/>
          <w:b/>
          <w:bCs/>
        </w:rPr>
        <w:t xml:space="preserve"> 149</w:t>
      </w:r>
    </w:p>
    <w:p w:rsidR="00DA3C51" w:rsidRDefault="00DA3C51" w:rsidP="00DA3C51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ПОЛОЖЕНИЕ</w:t>
      </w:r>
    </w:p>
    <w:p w:rsidR="00DA3C51" w:rsidRDefault="00DA3C51" w:rsidP="00DA3C51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 муниципального района Саратовской области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</w:t>
      </w: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1.1.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Оплата труда работников, занимающих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должности, не являющиеся должностями муниципальной службы и осуществляющих техническое обеспечение деятельности администрации Крутоярского муниципального образования осуществляется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за счет средств фонда оплаты труда.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1.2.  Оплата труда производится в виде денежного содержания, состоящего из должностного оклада, ежемесячных и дополнительных выплат.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согласно решения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Совета депутатов Крутоярского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1.4.  Заработная плата выплачивается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штатного расписания.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1.6.  Одновременно с выплатой заработной платы работнику выдается расчетный лист, в котором отражаются все выплаты, начисленные за текущий месяц, произведенные с них удержания, и сумма, фактически выданная работнику.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1.7.  Оплата отпуска производится не позднее, чем за три дня до его начала.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                               2.  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Оплата труда.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2.1.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Крутоярского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     - ежемесячная надбавка к должностному окладу за сложность и напряженность;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- премии по результатам работы;                                                                                                      - ежемесячное денежное поощрение в размере одного должностного оклада;                                   - единовременная выплата при предоставлении ежегодного оплачиваемого отпуска;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lastRenderedPageBreak/>
        <w:t>- материальная помощь;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2.2.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Крутоярском муниципальном образовании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1.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</w:t>
      </w: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Ежемесячные надбавки к должностному окладу за выслугу лет.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3.1.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Установить размеры ежемесячной надбавки к должностному окладу за выслугу лет дифференцированного, в зависимости от стажа, дающего право на получение этой надбавки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2.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                            3.2.  Порядок установления и выплаты ежемесячной надбавки к должностному окладу за выслугу лет устанавливается правовым актом администрации Крутоярского муниципального образования.</w:t>
      </w:r>
    </w:p>
    <w:p w:rsidR="00DA3C51" w:rsidRDefault="00DA3C51" w:rsidP="00DA3C51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4.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Ежемесячная надбавка к должностному окладу за сложность и напряженность.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 4.1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Ежемесячная набавка к должностному окладу за сложность и напряженность 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устанавливается и выплачивается работникам, занимающим должности, не являющиеся должностями муниципальной службы и осуществляющим техническое обеспечение деятельности администрации в размере до 100 % должностного оклада.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</w:t>
      </w: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5.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Премии по результатам работы.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5.1.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Установить, что премия по результатам работы выплачивается из расчета 25% денежного содержания в месяц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</w:t>
      </w: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6.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Ежемесячное денежное поощрение.</w:t>
      </w:r>
    </w:p>
    <w:p w:rsidR="00DA3C51" w:rsidRDefault="00DA3C51" w:rsidP="00DA3C51">
      <w:pPr>
        <w:autoSpaceDE w:val="0"/>
        <w:adjustRightInd w:val="0"/>
        <w:ind w:firstLine="567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6.1.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Ежемесячное денежное поощрение устанавливается и выплачивается    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DA3C51" w:rsidRDefault="00DA3C51" w:rsidP="00DA3C51">
      <w:pPr>
        <w:autoSpaceDE w:val="0"/>
        <w:adjustRightInd w:val="0"/>
        <w:ind w:firstLine="567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</w:t>
      </w: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8.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Материальная помощь.</w:t>
      </w:r>
    </w:p>
    <w:p w:rsidR="00DA3C51" w:rsidRDefault="00DA3C51" w:rsidP="00DA3C51">
      <w:pPr>
        <w:autoSpaceDE w:val="0"/>
        <w:adjustRightInd w:val="0"/>
        <w:ind w:firstLine="567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8.1.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Установить размер материальной помощи работникам, занимающих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должности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не являющиеся должностями муниципальной службы и осуществляющих  техническое обеспечение деятельности администрации в размере 2 должностных окладов.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    8.3. По желанию работника материальная помощь может быть приурочена к его очередному отпуску или выплачена в иной срок.</w:t>
      </w:r>
    </w:p>
    <w:p w:rsidR="00DA3C51" w:rsidRDefault="00DA3C51" w:rsidP="00DA3C51">
      <w:pPr>
        <w:autoSpaceDE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Единовременная выплата при предоставлении ежегодного оплачиваемого отпуска.</w:t>
      </w:r>
    </w:p>
    <w:p w:rsidR="00DA3C51" w:rsidRDefault="00DA3C51" w:rsidP="00DA3C51">
      <w:pPr>
        <w:autoSpaceDE w:val="0"/>
        <w:adjustRightInd w:val="0"/>
        <w:ind w:firstLine="567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9.1.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DA3C51" w:rsidRDefault="00DA3C51" w:rsidP="00DA3C51">
      <w:pPr>
        <w:autoSpaceDE w:val="0"/>
        <w:adjustRightInd w:val="0"/>
        <w:ind w:firstLine="567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</w:t>
      </w: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10.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Финансирование расходов на оплату труда.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10.1</w:t>
      </w:r>
      <w:proofErr w:type="gramStart"/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У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ежемесячной надбавки за выслугу лет – в размере двух должностных окладов;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ежемесячной надбавки за сложность, напряженность – в размере десяти должностных окладов;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lastRenderedPageBreak/>
        <w:t xml:space="preserve">- премий по результатам работы – в размере трех должностных окладов;                       -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ежемесячного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денежного поощрения в размере двенадцати должностных окладов;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единовременной выплаты при предоставлении ежегодного оплачиваемого отпуска в размере одного должностного оклада;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материальной помощи – в размере двух должностных окладов;</w:t>
      </w: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Pr="00CD7CFB" w:rsidRDefault="00DA3C51" w:rsidP="00DA3C51">
      <w:pPr>
        <w:autoSpaceDE w:val="0"/>
        <w:adjustRightInd w:val="0"/>
        <w:spacing w:before="280"/>
        <w:rPr>
          <w:rFonts w:cs="Calibri"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>
        <w:rPr>
          <w:rFonts w:ascii="Segoe UI Symbol" w:hAnsi="Segoe UI Symbol" w:cs="Segoe UI Symbol"/>
          <w:b/>
          <w:bCs/>
        </w:rPr>
        <w:t>№</w:t>
      </w:r>
      <w:r w:rsidRPr="00CD7CFB">
        <w:rPr>
          <w:rFonts w:ascii="Times New Roman" w:hAnsi="Times New Roman" w:cs="Times New Roman"/>
          <w:b/>
          <w:bCs/>
        </w:rPr>
        <w:t xml:space="preserve"> 2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к решению Совета депутатов                         Крутоярского муниципального образования                                                     от </w:t>
      </w:r>
      <w:r w:rsidRPr="00CD7CFB">
        <w:rPr>
          <w:rFonts w:ascii="Times New Roman" w:hAnsi="Times New Roman" w:cs="Times New Roman"/>
          <w:b/>
          <w:bCs/>
        </w:rPr>
        <w:t xml:space="preserve">«09» </w:t>
      </w:r>
      <w:r>
        <w:rPr>
          <w:rFonts w:ascii="Times New Roman" w:hAnsi="Times New Roman" w:cs="Times New Roman"/>
          <w:b/>
          <w:bCs/>
        </w:rPr>
        <w:t xml:space="preserve">января 2018 года </w:t>
      </w:r>
      <w:r>
        <w:rPr>
          <w:rFonts w:ascii="Segoe UI Symbol" w:hAnsi="Segoe UI Symbol" w:cs="Segoe UI Symbol"/>
          <w:b/>
          <w:bCs/>
        </w:rPr>
        <w:t>№</w:t>
      </w:r>
      <w:r w:rsidRPr="00CD7CFB">
        <w:rPr>
          <w:rFonts w:ascii="Times New Roman" w:hAnsi="Times New Roman" w:cs="Times New Roman"/>
          <w:b/>
          <w:bCs/>
        </w:rPr>
        <w:t xml:space="preserve"> 149</w:t>
      </w:r>
    </w:p>
    <w:p w:rsidR="00DA3C51" w:rsidRPr="00CD7CFB" w:rsidRDefault="00DA3C51" w:rsidP="00DA3C51">
      <w:pPr>
        <w:autoSpaceDE w:val="0"/>
        <w:adjustRightInd w:val="0"/>
        <w:ind w:left="467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 изменениями от 09.10.2023  № 9</w:t>
      </w:r>
    </w:p>
    <w:p w:rsidR="00DA3C51" w:rsidRPr="00CD7CFB" w:rsidRDefault="00DA3C51" w:rsidP="00DA3C51">
      <w:pPr>
        <w:autoSpaceDE w:val="0"/>
        <w:adjustRightInd w:val="0"/>
        <w:spacing w:before="280"/>
        <w:jc w:val="center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br/>
      </w:r>
    </w:p>
    <w:p w:rsidR="00DA3C51" w:rsidRDefault="00DA3C51" w:rsidP="00DA3C51">
      <w:pPr>
        <w:autoSpaceDE w:val="0"/>
        <w:adjustRightInd w:val="0"/>
        <w:spacing w:before="280"/>
        <w:ind w:left="288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РАЗМЕРЫ</w:t>
      </w:r>
    </w:p>
    <w:p w:rsidR="00DA3C51" w:rsidRDefault="00DA3C51" w:rsidP="00DA3C51">
      <w:pPr>
        <w:autoSpaceDE w:val="0"/>
        <w:adjustRightInd w:val="0"/>
        <w:spacing w:before="280"/>
        <w:ind w:left="288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DA3C51" w:rsidRPr="00CD7CFB" w:rsidRDefault="00DA3C51" w:rsidP="00DA3C51">
      <w:pPr>
        <w:autoSpaceDE w:val="0"/>
        <w:adjustRightInd w:val="0"/>
        <w:spacing w:before="280"/>
        <w:ind w:left="288"/>
        <w:rPr>
          <w:rFonts w:cs="Calibri"/>
        </w:rPr>
      </w:pPr>
    </w:p>
    <w:tbl>
      <w:tblPr>
        <w:tblW w:w="0" w:type="auto"/>
        <w:tblInd w:w="101" w:type="dxa"/>
        <w:tblLayout w:type="fixed"/>
        <w:tblCellMar>
          <w:left w:w="116" w:type="dxa"/>
          <w:right w:w="116" w:type="dxa"/>
        </w:tblCellMar>
        <w:tblLook w:val="0000"/>
      </w:tblPr>
      <w:tblGrid>
        <w:gridCol w:w="5549"/>
        <w:gridCol w:w="3736"/>
      </w:tblGrid>
      <w:tr w:rsidR="00DA3C51" w:rsidRPr="00CD7CFB" w:rsidTr="008C13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DA3C51" w:rsidRDefault="00DA3C51" w:rsidP="008C13D1">
            <w:pPr>
              <w:autoSpaceDE w:val="0"/>
              <w:adjustRightInd w:val="0"/>
              <w:spacing w:before="280" w:after="280"/>
              <w:ind w:left="288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DA3C51" w:rsidRPr="00CD7CFB" w:rsidRDefault="00DA3C51" w:rsidP="008C13D1">
            <w:pPr>
              <w:autoSpaceDE w:val="0"/>
              <w:adjustRightInd w:val="0"/>
              <w:spacing w:before="280" w:after="280"/>
              <w:ind w:left="288"/>
              <w:jc w:val="center"/>
              <w:rPr>
                <w:rFonts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DA3C51" w:rsidTr="008C13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DA3C51" w:rsidRDefault="00DA3C51" w:rsidP="008C13D1">
            <w:pPr>
              <w:autoSpaceDE w:val="0"/>
              <w:adjustRightInd w:val="0"/>
              <w:spacing w:before="280" w:after="280"/>
              <w:ind w:left="288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DA3C51" w:rsidRPr="00DA3C51" w:rsidRDefault="00DA3C51" w:rsidP="008C13D1">
            <w:pPr>
              <w:autoSpaceDE w:val="0"/>
              <w:adjustRightInd w:val="0"/>
              <w:spacing w:before="280" w:after="280"/>
              <w:ind w:left="288"/>
              <w:jc w:val="center"/>
              <w:rPr>
                <w:rFonts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3339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00</w:t>
            </w:r>
          </w:p>
        </w:tc>
      </w:tr>
    </w:tbl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spacing w:after="240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ind w:left="4536" w:firstLine="426"/>
        <w:jc w:val="right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ind w:left="4536" w:firstLine="426"/>
        <w:jc w:val="right"/>
        <w:rPr>
          <w:rFonts w:cs="Calibri"/>
          <w:lang w:val="en-US"/>
        </w:rPr>
      </w:pPr>
    </w:p>
    <w:p w:rsidR="00DA3C51" w:rsidRDefault="00DA3C51" w:rsidP="00DA3C51">
      <w:pPr>
        <w:autoSpaceDE w:val="0"/>
        <w:adjustRightInd w:val="0"/>
        <w:ind w:left="4536" w:firstLine="426"/>
        <w:jc w:val="right"/>
        <w:rPr>
          <w:rFonts w:cs="Calibri"/>
          <w:lang w:val="en-US"/>
        </w:rPr>
      </w:pPr>
    </w:p>
    <w:p w:rsidR="00DA3C51" w:rsidRPr="00CD7CFB" w:rsidRDefault="00DA3C51" w:rsidP="00DA3C51">
      <w:pPr>
        <w:autoSpaceDE w:val="0"/>
        <w:adjustRightInd w:val="0"/>
        <w:ind w:left="4536" w:firstLine="426"/>
        <w:jc w:val="right"/>
        <w:rPr>
          <w:rFonts w:cs="Calibri"/>
        </w:rPr>
      </w:pPr>
    </w:p>
    <w:p w:rsidR="00DA3C51" w:rsidRDefault="00DA3C51" w:rsidP="00DA3C51">
      <w:pPr>
        <w:autoSpaceDE w:val="0"/>
        <w:adjustRightInd w:val="0"/>
        <w:ind w:left="4536" w:firstLine="426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</w:p>
    <w:p w:rsidR="00DA3C51" w:rsidRDefault="00DA3C51" w:rsidP="00DA3C51">
      <w:pPr>
        <w:autoSpaceDE w:val="0"/>
        <w:adjustRightInd w:val="0"/>
        <w:ind w:left="4536" w:firstLine="425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>
        <w:rPr>
          <w:rFonts w:ascii="Segoe UI Symbol" w:hAnsi="Segoe UI Symbol" w:cs="Segoe UI Symbol"/>
          <w:b/>
          <w:bCs/>
        </w:rPr>
        <w:t>№</w:t>
      </w:r>
      <w:r w:rsidRPr="00CD7CFB">
        <w:rPr>
          <w:rFonts w:ascii="Times New Roman" w:hAnsi="Times New Roman" w:cs="Times New Roman"/>
          <w:b/>
          <w:bCs/>
        </w:rPr>
        <w:t xml:space="preserve"> 3                                              </w:t>
      </w:r>
    </w:p>
    <w:p w:rsidR="00DA3C51" w:rsidRPr="00CD7CFB" w:rsidRDefault="00DA3C51" w:rsidP="00DA3C51">
      <w:pPr>
        <w:autoSpaceDE w:val="0"/>
        <w:adjustRightInd w:val="0"/>
        <w:ind w:left="4536" w:firstLine="426"/>
        <w:jc w:val="right"/>
        <w:rPr>
          <w:rFonts w:ascii="Times New Roman" w:hAnsi="Times New Roman" w:cs="Times New Roman"/>
          <w:b/>
          <w:bCs/>
        </w:rPr>
      </w:pPr>
      <w:r w:rsidRPr="00CD7CFB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к решению Совета депутатов                       Крутоярского муниципального образования                                              от </w:t>
      </w:r>
      <w:r w:rsidRPr="00CD7CFB">
        <w:rPr>
          <w:rFonts w:ascii="Times New Roman" w:hAnsi="Times New Roman" w:cs="Times New Roman"/>
          <w:b/>
          <w:bCs/>
        </w:rPr>
        <w:t xml:space="preserve">«09» </w:t>
      </w:r>
      <w:r>
        <w:rPr>
          <w:rFonts w:ascii="Times New Roman" w:hAnsi="Times New Roman" w:cs="Times New Roman"/>
          <w:b/>
          <w:bCs/>
        </w:rPr>
        <w:t xml:space="preserve">января 2018 года </w:t>
      </w:r>
      <w:r>
        <w:rPr>
          <w:rFonts w:ascii="Segoe UI Symbol" w:hAnsi="Segoe UI Symbol" w:cs="Segoe UI Symbol"/>
          <w:b/>
          <w:bCs/>
        </w:rPr>
        <w:t>№</w:t>
      </w:r>
      <w:r w:rsidRPr="00CD7CFB">
        <w:rPr>
          <w:rFonts w:ascii="Times New Roman" w:hAnsi="Times New Roman" w:cs="Times New Roman"/>
          <w:b/>
          <w:bCs/>
        </w:rPr>
        <w:t xml:space="preserve"> 149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ПОЛОЖЕНИЕ</w:t>
      </w:r>
    </w:p>
    <w:p w:rsidR="00DA3C51" w:rsidRDefault="00DA3C51" w:rsidP="00DA3C51">
      <w:pPr>
        <w:autoSpaceDE w:val="0"/>
        <w:adjustRightInd w:val="0"/>
        <w:spacing w:after="202"/>
        <w:jc w:val="center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                                                 Крутоярского муниципального образования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7"/>
          <w:szCs w:val="27"/>
          <w:highlight w:val="white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  1.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Крутоярского муниципального образования.</w:t>
      </w:r>
    </w:p>
    <w:p w:rsidR="00DA3C51" w:rsidRDefault="00DA3C51" w:rsidP="00DA3C51">
      <w:pPr>
        <w:autoSpaceDE w:val="0"/>
        <w:adjustRightInd w:val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2.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-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10 процентов должностного оклада при стаже муниципальной службы от 1 года до 5 лет;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-15 процентов должностного оклада при стаже муниципальной службы от 5 года до 10 лет;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- 20 процентов должностного оклада при стаже муниципальной службы от 10 года до 15 лет;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-30 процентов должностного оклада при стаже муниципальной службы свыше 15лет.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3.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4.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В стаж работы, дающий право на получение ежемесячной надбавки за выслугу лет, включается: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время работы в органах государственной власти, органах местного самоуправления;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время военной службы, если в течение года после увольнения они поступили на работу;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5.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При временном замещении надбавка за выслугу лет начисляется на должностной оклад по основной работе.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6.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Ежемесячная надбавка за выслугу лет учитывается во всех случаях исчисления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lastRenderedPageBreak/>
        <w:t>среднего заработка.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7.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Ежемесячная надбавка за выслугу лет выплачивается с момента возникновения права на назначение или изменение размера этой надбавки.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права и производится соответствующий перерасчет среднего заработка.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8.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 9.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10.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Стаж работы для выплаты ежемесячных надбавок за выслугу лет определяется комиссией по установлению трудового стажа.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11.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Состав комиссии утверждается руководителем органа местного самоуправления.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12.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proofErr w:type="gramStart"/>
      <w:r w:rsidRPr="00CD7C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- военный билет или справки военных комиссариатов, подтверждающие стаж военной службы.</w:t>
      </w:r>
      <w:proofErr w:type="gramEnd"/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13.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14.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Настоящее положение не распространяется на временных работников и лиц, работающих по совместительству.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15.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DA3C51" w:rsidRDefault="00DA3C51" w:rsidP="00DA3C51">
      <w:pPr>
        <w:autoSpaceDE w:val="0"/>
        <w:adjustRightInd w:val="0"/>
        <w:spacing w:after="202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 w:rsidRPr="00CD7CFB">
        <w:rPr>
          <w:rFonts w:ascii="Times New Roman" w:hAnsi="Times New Roman" w:cs="Times New Roman"/>
          <w:color w:val="000000"/>
          <w:sz w:val="27"/>
          <w:szCs w:val="27"/>
          <w:highlight w:val="white"/>
        </w:rPr>
        <w:lastRenderedPageBreak/>
        <w:t xml:space="preserve">  16.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</w:rPr>
        <w:t>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DA3C51" w:rsidRDefault="00DA3C51"/>
    <w:sectPr w:rsidR="00DA3C51" w:rsidSect="00DA3C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777"/>
    <w:rsid w:val="00185C90"/>
    <w:rsid w:val="001A2AD2"/>
    <w:rsid w:val="003B2889"/>
    <w:rsid w:val="00597B46"/>
    <w:rsid w:val="00632F04"/>
    <w:rsid w:val="00DA3C51"/>
    <w:rsid w:val="00F1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477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4777"/>
    <w:pPr>
      <w:suppressAutoHyphens/>
      <w:autoSpaceDN w:val="0"/>
      <w:textAlignment w:val="baseline"/>
    </w:pPr>
    <w:rPr>
      <w:rFonts w:ascii="Calibri" w:eastAsia="F" w:hAnsi="Calibri" w:cs="F"/>
      <w:kern w:val="3"/>
      <w:lang w:eastAsia="ru-RU"/>
    </w:rPr>
  </w:style>
  <w:style w:type="paragraph" w:styleId="a3">
    <w:name w:val="Normal (Web)"/>
    <w:basedOn w:val="Standard"/>
    <w:rsid w:val="00F1477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Standard"/>
    <w:rsid w:val="00F1477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2023-12-06T10:25:00Z</cp:lastPrinted>
  <dcterms:created xsi:type="dcterms:W3CDTF">2023-10-12T09:53:00Z</dcterms:created>
  <dcterms:modified xsi:type="dcterms:W3CDTF">2023-12-06T10:27:00Z</dcterms:modified>
</cp:coreProperties>
</file>