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Счётчик или норматив – что выгоднее? </w:t>
      </w:r>
    </w:p>
    <w:p>
      <w:pPr>
        <w:pStyle w:val="Normal"/>
        <w:spacing w:lineRule="auto" w:line="288"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88" w:before="0" w:after="0"/>
        <w:jc w:val="center"/>
        <w:rPr>
          <w:rFonts w:ascii="Times New Roman" w:hAnsi="Times New Roman" w:cs="Times New Roman"/>
          <w:b/>
          <w:b/>
          <w:bCs/>
          <w:sz w:val="28"/>
          <w:szCs w:val="28"/>
        </w:rPr>
      </w:pPr>
      <w:r>
        <w:rPr>
          <w:rFonts w:cs="Times New Roman" w:ascii="Times New Roman" w:hAnsi="Times New Roman"/>
          <w:b/>
          <w:bCs/>
          <w:sz w:val="28"/>
          <w:szCs w:val="28"/>
        </w:rPr>
        <w:t>Часть 2</w:t>
      </w:r>
    </w:p>
    <w:p>
      <w:pPr>
        <w:pStyle w:val="Normal"/>
        <w:spacing w:lineRule="auto" w:line="288" w:before="0" w:after="0"/>
        <w:jc w:val="center"/>
        <w:rPr>
          <w:rFonts w:ascii="Times New Roman" w:hAnsi="Times New Roman" w:cs="Times New Roman"/>
          <w:b/>
          <w:b/>
          <w:bCs/>
          <w:sz w:val="28"/>
          <w:szCs w:val="28"/>
        </w:rPr>
      </w:pPr>
      <w:r>
        <w:rPr/>
      </w:r>
    </w:p>
    <w:p>
      <w:pPr>
        <w:pStyle w:val="Normal"/>
        <w:spacing w:lineRule="auto" w:line="288" w:before="0" w:after="0"/>
        <w:jc w:val="both"/>
        <w:rPr>
          <w:rFonts w:ascii="Times New Roman" w:hAnsi="Times New Roman" w:cs="Times New Roman"/>
          <w:bCs/>
          <w:sz w:val="28"/>
          <w:szCs w:val="28"/>
        </w:rPr>
      </w:pPr>
      <w:r>
        <w:rPr>
          <w:rFonts w:cs="Times New Roman" w:ascii="Times New Roman" w:hAnsi="Times New Roman"/>
          <w:bCs/>
          <w:sz w:val="28"/>
          <w:szCs w:val="28"/>
        </w:rPr>
        <w:t>Начисление платы за коммунальные услуги, такие как свет, вода и газ, чаще всего осуществляется исходя из показаний индивидуальных приборов учёта, которые собственники жилых помещений передают исполнителю услуг, а при отсутствии показаний плата может начисляться исходя из среднемесячных значений или по установленным нормативам.</w:t>
      </w:r>
    </w:p>
    <w:p>
      <w:pPr>
        <w:pStyle w:val="Normal"/>
        <w:spacing w:lineRule="auto" w:line="288" w:before="0" w:after="0"/>
        <w:jc w:val="both"/>
        <w:rPr>
          <w:rFonts w:ascii="Times New Roman" w:hAnsi="Times New Roman" w:cs="Times New Roman"/>
          <w:bCs/>
          <w:sz w:val="28"/>
          <w:szCs w:val="28"/>
        </w:rPr>
      </w:pPr>
      <w:r>
        <w:rPr>
          <w:rFonts w:cs="Times New Roman" w:ascii="Times New Roman" w:hAnsi="Times New Roman"/>
          <w:bCs/>
          <w:sz w:val="28"/>
          <w:szCs w:val="28"/>
        </w:rPr>
      </w:r>
    </w:p>
    <w:p>
      <w:pPr>
        <w:pStyle w:val="Style20"/>
        <w:jc w:val="both"/>
        <w:rPr>
          <w:b/>
          <w:b/>
          <w:bCs/>
          <w:color w:val="000000"/>
        </w:rPr>
      </w:pPr>
      <w:r>
        <w:rPr>
          <w:rFonts w:cs="Times New Roman" w:ascii="Times New Roman" w:hAnsi="Times New Roman"/>
          <w:b/>
          <w:bCs/>
          <w:i/>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заметку</w:t>
      </w:r>
      <w:r>
        <w:rPr>
          <w:rFonts w:cs="Times New Roman" w:ascii="Times New Roman" w:hAnsi="Times New Roman"/>
          <w:b/>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imes New Roman" w:ascii="Times New Roman" w:hAnsi="Times New Roman"/>
          <w:b/>
          <w:bCs/>
          <w:i/>
          <w:color w:val="000000"/>
          <w:sz w:val="28"/>
          <w:szCs w:val="28"/>
        </w:rPr>
        <w:t>Если потребитель коммунальных услуг по каким-то причинам не передал показания, то начисление платы за коммунальную услугу будет осуществляться по среднемесячным показаниям в течение трёх месяцев: исполнитель услуг возьмёт объём потребления коммунальной услуги за полгода и вычислит среднее значение.</w:t>
      </w:r>
    </w:p>
    <w:p>
      <w:pPr>
        <w:pStyle w:val="Style20"/>
        <w:jc w:val="both"/>
        <w:rPr>
          <w:rFonts w:ascii="Times New Roman" w:hAnsi="Times New Roman" w:cs="Times New Roman"/>
          <w:i/>
          <w:i/>
          <w:sz w:val="28"/>
          <w:szCs w:val="28"/>
        </w:rPr>
      </w:pPr>
      <w:r>
        <w:rPr>
          <w:rFonts w:cs="Times New Roman" w:ascii="Times New Roman" w:hAnsi="Times New Roman"/>
          <w:b/>
          <w:bCs/>
          <w:i/>
          <w:color w:val="000000"/>
          <w:sz w:val="28"/>
          <w:szCs w:val="28"/>
        </w:rPr>
        <w:t>По истечении трёх месяцев и отсутствии показаний ИПУ, плату за коммунальную услугу начнут начислять, исходя из нормативов потребления. Норматив потребления – определяемый в соответствии с законодательство количественный показатель объема потребления коммунального ресурса, применяемый для расчета размера платы за коммунальную услугу. Нормативы потребления утверждают органы власти каждого субъекта РФ. Если законом предусмотрено, что потребитель обязан установить прибор учёта при использовании той или иной коммунальной услуги, то при начислении платы по нормативу будет применяться ещё и повышающий коэффициент.</w:t>
      </w:r>
    </w:p>
    <w:p>
      <w:pPr>
        <w:pStyle w:val="Normal"/>
        <w:spacing w:lineRule="auto" w:line="288"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Как выгоднее платить: по показаниям счётчика или по нормативу? Давайте попробуем разобраться с этим вопросом на примере такой коммунальной услуги, как газоснабжение. </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Поскольку требование Закона об энергосбережении (ФЗ от 23.11.2009 г. N 261-ФЗ) по обязательной установке приборов учёта не распространяется на объекты, максимальный объем потребления природного газа которых составляет менее чем два кубических метра в час, то установка газового счётчика не обязательна в квартирах и частных домах, где это условие соблюдается. Поэтому, если вы пользуетесь только газовой плитой, то вполне можете обойтись без прибора учета потребляемого газа (в случае, если у вас есть ещё, например, водонагревательная колонка, то лучше уточнить расход топлива в характеристиках конкретного прибора), однако, вопрос остаётся открытым: «А как выгоднее?». Посмотрим на примере двух семей, проживающих в нашем регионе, и сравним их расходы в таблице:</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4"/>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3401"/>
        <w:gridCol w:w="3681"/>
      </w:tblGrid>
      <w:tr>
        <w:trPr>
          <w:trHeight w:val="786" w:hRule="atLeast"/>
        </w:trPr>
        <w:tc>
          <w:tcPr>
            <w:tcW w:w="2263" w:type="dxa"/>
            <w:tcBorders/>
          </w:tcPr>
          <w:p>
            <w:pPr>
              <w:pStyle w:val="Normal"/>
              <w:widowControl w:val="false"/>
              <w:suppressAutoHyphens w:val="true"/>
              <w:spacing w:lineRule="auto" w:line="288"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Критерии оценки</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Отсутствует газовый счетчик</w:t>
            </w:r>
          </w:p>
          <w:p>
            <w:pPr>
              <w:pStyle w:val="Normal"/>
              <w:widowControl w:val="false"/>
              <w:suppressAutoHyphens w:val="true"/>
              <w:spacing w:lineRule="auto" w:line="288"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(семья № 1)</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Газовый счетчик установлен</w:t>
            </w:r>
          </w:p>
          <w:p>
            <w:pPr>
              <w:pStyle w:val="Normal"/>
              <w:widowControl w:val="false"/>
              <w:suppressAutoHyphens w:val="true"/>
              <w:spacing w:lineRule="auto" w:line="288"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(семья № 2)</w:t>
            </w:r>
          </w:p>
        </w:tc>
      </w:tr>
      <w:tr>
        <w:trPr/>
        <w:tc>
          <w:tcPr>
            <w:tcW w:w="2263" w:type="dxa"/>
            <w:tcBorders/>
          </w:tcPr>
          <w:p>
            <w:pPr>
              <w:pStyle w:val="Normal"/>
              <w:widowControl w:val="false"/>
              <w:suppressAutoHyphens w:val="true"/>
              <w:spacing w:lineRule="auto" w:line="288" w:before="0" w:after="0"/>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количество членов семьи</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человека</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человека</w:t>
            </w:r>
          </w:p>
        </w:tc>
      </w:tr>
      <w:tr>
        <w:trPr/>
        <w:tc>
          <w:tcPr>
            <w:tcW w:w="2263" w:type="dxa"/>
            <w:tcBorders/>
          </w:tcPr>
          <w:p>
            <w:pPr>
              <w:pStyle w:val="Normal"/>
              <w:widowControl w:val="false"/>
              <w:suppressAutoHyphens w:val="true"/>
              <w:spacing w:lineRule="auto" w:line="288" w:before="0" w:after="0"/>
              <w:jc w:val="both"/>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место проживания</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квартира в МКД</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квартира в МКД</w:t>
            </w:r>
          </w:p>
        </w:tc>
      </w:tr>
      <w:tr>
        <w:trPr/>
        <w:tc>
          <w:tcPr>
            <w:tcW w:w="2263" w:type="dxa"/>
            <w:tcBorders/>
          </w:tcPr>
          <w:p>
            <w:pPr>
              <w:pStyle w:val="Normal"/>
              <w:widowControl w:val="false"/>
              <w:suppressAutoHyphens w:val="true"/>
              <w:spacing w:lineRule="auto" w:line="288" w:before="0" w:after="0"/>
              <w:jc w:val="both"/>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 xml:space="preserve">количество используемой техники </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одна газовая варочная поверхность на 4 конфорки</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одна газовая варочная поверхность на 4 конфорки</w:t>
            </w:r>
          </w:p>
        </w:tc>
      </w:tr>
      <w:tr>
        <w:trPr/>
        <w:tc>
          <w:tcPr>
            <w:tcW w:w="2263" w:type="dxa"/>
            <w:tcBorders/>
          </w:tcPr>
          <w:p>
            <w:pPr>
              <w:pStyle w:val="Normal"/>
              <w:widowControl w:val="false"/>
              <w:suppressAutoHyphens w:val="true"/>
              <w:spacing w:lineRule="auto" w:line="288" w:before="0" w:after="0"/>
              <w:jc w:val="both"/>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объём потребляемого ресурса в месяц</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По нормативу</w:t>
            </w:r>
          </w:p>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(норматив в Саратовской обл. на одного человека составляет 11,5 куб.м. в месяц, в данном случае по нормативу «объем услуг» составляет 34,5 куб.м)</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По  счетчику</w:t>
            </w:r>
          </w:p>
          <w:p>
            <w:pPr>
              <w:pStyle w:val="Normal"/>
              <w:widowControl w:val="false"/>
              <w:suppressAutoHyphens w:val="true"/>
              <w:spacing w:lineRule="auto" w:line="288"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Объем примерно 7 куб.м в месяц</w:t>
            </w:r>
          </w:p>
        </w:tc>
      </w:tr>
      <w:tr>
        <w:trPr/>
        <w:tc>
          <w:tcPr>
            <w:tcW w:w="2263" w:type="dxa"/>
            <w:tcBorders/>
          </w:tcPr>
          <w:p>
            <w:pPr>
              <w:pStyle w:val="Normal"/>
              <w:widowControl w:val="false"/>
              <w:suppressAutoHyphens w:val="true"/>
              <w:spacing w:lineRule="auto" w:line="288" w:before="0" w:after="0"/>
              <w:jc w:val="both"/>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Тариф</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10,3 руб за 1 куб.м</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10,3 руб за 1 куб.м</w:t>
            </w:r>
          </w:p>
        </w:tc>
      </w:tr>
      <w:tr>
        <w:trPr>
          <w:trHeight w:val="3835" w:hRule="atLeast"/>
        </w:trPr>
        <w:tc>
          <w:tcPr>
            <w:tcW w:w="9345" w:type="dxa"/>
            <w:gridSpan w:val="3"/>
            <w:tcBorders>
              <w:left w:val="nil"/>
              <w:right w:val="nil"/>
            </w:tcBorders>
          </w:tcPr>
          <w:p>
            <w:pPr>
              <w:pStyle w:val="Normal"/>
              <w:widowControl w:val="false"/>
              <w:suppressAutoHyphens w:val="true"/>
              <w:spacing w:lineRule="auto" w:line="288" w:before="0" w:after="0"/>
              <w:jc w:val="both"/>
              <w:rPr>
                <w:rFonts w:ascii="Times New Roman" w:hAnsi="Times New Roman" w:cs="Times New Roman"/>
                <w:i/>
                <w:i/>
                <w:sz w:val="28"/>
                <w:szCs w:val="28"/>
              </w:rPr>
            </w:pPr>
            <w:r>
              <w:rPr>
                <w:rFonts w:cs="Times New Roman" w:ascii="Times New Roman" w:hAnsi="Times New Roman"/>
                <w:i/>
                <w:sz w:val="28"/>
                <w:szCs w:val="28"/>
              </w:rPr>
            </w:r>
          </w:p>
          <w:p>
            <w:pPr>
              <w:pStyle w:val="Style20"/>
              <w:widowControl w:val="false"/>
              <w:suppressAutoHyphens w:val="true"/>
              <w:spacing w:lineRule="auto" w:line="240" w:before="0" w:after="0"/>
              <w:jc w:val="both"/>
              <w:rPr>
                <w:rFonts w:ascii="Times New Roman" w:hAnsi="Times New Roman"/>
                <w:b/>
                <w:b/>
                <w:bCs/>
                <w:i/>
                <w:i/>
                <w:iCs/>
                <w:color w:val="000000"/>
                <w:sz w:val="28"/>
                <w:szCs w:val="28"/>
              </w:rPr>
            </w:pPr>
            <w:r>
              <w:rPr>
                <w:rFonts w:eastAsia="Calibri" w:cs="" w:ascii="Times New Roman" w:hAnsi="Times New Roman"/>
                <w:b/>
                <w:bCs/>
                <w:i/>
                <w:iCs/>
                <w:color w:val="000000"/>
                <w:kern w:val="0"/>
                <w:sz w:val="28"/>
                <w:szCs w:val="28"/>
                <w:u w:val="single"/>
                <w:lang w:val="ru-RU" w:eastAsia="en-US" w:bidi="ar-SA"/>
              </w:rPr>
              <w:t>На заметку.</w:t>
            </w:r>
            <w:r>
              <w:rPr>
                <w:rFonts w:eastAsia="Calibri" w:cs="" w:ascii="Times New Roman" w:hAnsi="Times New Roman"/>
                <w:b/>
                <w:bCs/>
                <w:i/>
                <w:iCs/>
                <w:color w:val="000000"/>
                <w:kern w:val="0"/>
                <w:sz w:val="28"/>
                <w:szCs w:val="28"/>
                <w:lang w:val="ru-RU" w:eastAsia="en-US" w:bidi="ar-SA"/>
              </w:rPr>
              <w:t xml:space="preserve"> Согласно постановлению Комитета государственного регулирования тарифов Саратовской области от 28 ноября 2022 года № 54/21 с 1 декабря этого года цены на газ составляют: пищеприготовление – 10,30 руб./куб.м; пищеприготовление и нагрев воды – 9, 35 руб./куб.м; отопление – 6, 52 руб./куб.м.</w:t>
            </w:r>
          </w:p>
          <w:p>
            <w:pPr>
              <w:pStyle w:val="Normal"/>
              <w:widowControl w:val="false"/>
              <w:suppressAutoHyphens w:val="true"/>
              <w:spacing w:lineRule="auto" w:line="288" w:before="0" w:after="0"/>
              <w:jc w:val="both"/>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suppressAutoHyphens w:val="true"/>
              <w:spacing w:lineRule="auto" w:line="288" w:before="0" w:after="0"/>
              <w:jc w:val="both"/>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suppressAutoHyphens w:val="true"/>
              <w:spacing w:lineRule="auto" w:line="288"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Получаем результат:</w:t>
            </w:r>
          </w:p>
        </w:tc>
      </w:tr>
      <w:tr>
        <w:trPr/>
        <w:tc>
          <w:tcPr>
            <w:tcW w:w="2263" w:type="dxa"/>
            <w:tcBorders/>
          </w:tcPr>
          <w:p>
            <w:pPr>
              <w:pStyle w:val="Normal"/>
              <w:widowControl w:val="false"/>
              <w:suppressAutoHyphens w:val="true"/>
              <w:spacing w:lineRule="auto" w:line="288" w:before="0" w:after="0"/>
              <w:jc w:val="left"/>
              <w:rPr>
                <w:rFonts w:ascii="Times New Roman" w:hAnsi="Times New Roman" w:cs="Times New Roman"/>
                <w:i/>
                <w:i/>
                <w:sz w:val="28"/>
                <w:szCs w:val="28"/>
              </w:rPr>
            </w:pPr>
            <w:r>
              <w:rPr>
                <w:rFonts w:cs="Times New Roman" w:ascii="Times New Roman" w:hAnsi="Times New Roman"/>
                <w:i/>
                <w:sz w:val="28"/>
                <w:szCs w:val="28"/>
              </w:rPr>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 нормативу</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 счетчику</w:t>
            </w:r>
          </w:p>
        </w:tc>
      </w:tr>
      <w:tr>
        <w:trPr/>
        <w:tc>
          <w:tcPr>
            <w:tcW w:w="2263" w:type="dxa"/>
            <w:tcBorders/>
          </w:tcPr>
          <w:p>
            <w:pPr>
              <w:pStyle w:val="Normal"/>
              <w:widowControl w:val="false"/>
              <w:suppressAutoHyphens w:val="true"/>
              <w:spacing w:lineRule="auto" w:line="288" w:before="0" w:after="0"/>
              <w:jc w:val="left"/>
              <w:rPr>
                <w:rFonts w:ascii="Times New Roman" w:hAnsi="Times New Roman" w:cs="Times New Roman"/>
                <w:i/>
                <w:i/>
                <w:sz w:val="28"/>
                <w:szCs w:val="28"/>
              </w:rPr>
            </w:pPr>
            <w:r>
              <w:rPr>
                <w:rFonts w:eastAsia="Calibri" w:cs="Times New Roman" w:ascii="Times New Roman" w:hAnsi="Times New Roman"/>
                <w:i/>
                <w:kern w:val="0"/>
                <w:sz w:val="28"/>
                <w:szCs w:val="28"/>
                <w:lang w:val="ru-RU" w:eastAsia="en-US" w:bidi="ar-SA"/>
              </w:rPr>
              <w:t>сумма к оплате в ежемесячной платежке за газоснабжение</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88"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355 рублей 35 копеек</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88"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72 рубля 10 копеек</w:t>
            </w:r>
          </w:p>
        </w:tc>
      </w:tr>
      <w:tr>
        <w:trPr/>
        <w:tc>
          <w:tcPr>
            <w:tcW w:w="2263" w:type="dxa"/>
            <w:tcBorders/>
          </w:tcPr>
          <w:p>
            <w:pPr>
              <w:pStyle w:val="Normal"/>
              <w:widowControl w:val="false"/>
              <w:suppressAutoHyphens w:val="true"/>
              <w:spacing w:lineRule="auto" w:line="288" w:before="0" w:after="0"/>
              <w:jc w:val="both"/>
              <w:rPr>
                <w:rFonts w:ascii="Times New Roman" w:hAnsi="Times New Roman" w:cs="Times New Roman"/>
                <w:i/>
                <w:i/>
                <w:sz w:val="28"/>
                <w:szCs w:val="28"/>
              </w:rPr>
            </w:pPr>
            <w:r>
              <w:rPr>
                <w:rFonts w:eastAsia="Calibri" w:cs="Times New Roman" w:ascii="Times New Roman" w:hAnsi="Times New Roman"/>
                <w:i/>
                <w:kern w:val="0"/>
                <w:sz w:val="28"/>
                <w:szCs w:val="28"/>
                <w:lang w:val="ru-RU" w:eastAsia="en-US" w:bidi="ar-SA"/>
              </w:rPr>
              <w:t>итоговая сумма к оплате за год</w:t>
            </w:r>
          </w:p>
        </w:tc>
        <w:tc>
          <w:tcPr>
            <w:tcW w:w="3401" w:type="dxa"/>
            <w:tcBorders/>
          </w:tcPr>
          <w:p>
            <w:pPr>
              <w:pStyle w:val="Normal"/>
              <w:widowControl w:val="false"/>
              <w:suppressAutoHyphens w:val="true"/>
              <w:spacing w:lineRule="auto" w:line="288"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4 264 рубля 20 копеек</w:t>
            </w:r>
          </w:p>
        </w:tc>
        <w:tc>
          <w:tcPr>
            <w:tcW w:w="3681" w:type="dxa"/>
            <w:tcBorders/>
          </w:tcPr>
          <w:p>
            <w:pPr>
              <w:pStyle w:val="Normal"/>
              <w:widowControl w:val="false"/>
              <w:suppressAutoHyphens w:val="true"/>
              <w:spacing w:lineRule="auto" w:line="288"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865 рублей 20 копеек</w:t>
            </w:r>
          </w:p>
        </w:tc>
      </w:tr>
    </w:tbl>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На первый взгляд выгода очевидна – газовый счетчик поможет сэкономить второй семье более трёх тысяч рублей в год! Но не будем забывать, что установка счётчика также потребует от нас некоторых затрат. Так, на различных маркетплейсах стоимость газового счетчика составляет примерно 2 500 рублей, установка счётчика обойдётся, тоже примерно, в 2000 рублей, т.е. общая сумма затрат составит 4 500 рублей. Если учесть, что мы будем экономить аж 3 тысячи рублей в год, то за полтора года установка счётчика должна полностью окупиться, а вот приятное чувство экономии останется с нами ещё надолго. </w:t>
      </w:r>
    </w:p>
    <w:p>
      <w:pPr>
        <w:pStyle w:val="Normal"/>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Конечно, вместе с установкой счётчика приходит и дополнительная ответственность, поскольку приборы учёта потребления коммунальных ресурсов находятся в ведении собственника помещений, а это значит, что именно собственник несёт ответственность за установку и надлежащую техническую эксплуатацию, сохранность и своевременную замену, если счётчики вышли из строя или у них истёк межповерочный интервал (п. 81 Постановления Правительства РФ № 354).</w:t>
      </w:r>
    </w:p>
    <w:p>
      <w:pPr>
        <w:pStyle w:val="Normal"/>
        <w:shd w:val="clear" w:color="auto" w:fill="FFFFFF" w:themeFill="background1"/>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Мы рассмотрели целесообразность установки прибора учёта газа на примере семей, в которых проживает, и соответственно прописано по три человека. Один из выводов наших расчётов: </w:t>
      </w:r>
      <w:r>
        <w:rPr>
          <w:rFonts w:cs="Times New Roman" w:ascii="Times New Roman" w:hAnsi="Times New Roman"/>
          <w:i/>
          <w:sz w:val="28"/>
          <w:szCs w:val="28"/>
        </w:rPr>
        <w:t>чем больше человек прописано в жилом помещении, тем устанавливать счётчик выгоднее.</w:t>
      </w:r>
    </w:p>
    <w:p>
      <w:pPr>
        <w:pStyle w:val="Normal"/>
        <w:shd w:val="clear" w:color="auto" w:fill="FFFFFF" w:themeFill="background1"/>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А если, например, в квартире прописан и проживает один человек? Подсчёты будут совсем другими. Ежемесячно по нормативу человек будет платить за газ 118 руб. 45 коп. (11,5 куб.м.* 10,3 руб), соответственно это 1 421 руб. 40 коп. в год. А стоимость установки прибора учёта остаётся такой же – 4 500 рублей. </w:t>
      </w:r>
    </w:p>
    <w:p>
      <w:pPr>
        <w:pStyle w:val="Normal"/>
        <w:shd w:val="clear" w:color="auto" w:fill="FFFFFF" w:themeFill="background1"/>
        <w:spacing w:lineRule="auto" w:line="288" w:before="0" w:after="0"/>
        <w:jc w:val="both"/>
        <w:rPr>
          <w:rFonts w:ascii="Times New Roman" w:hAnsi="Times New Roman" w:cs="Times New Roman"/>
          <w:sz w:val="28"/>
          <w:szCs w:val="28"/>
        </w:rPr>
      </w:pPr>
      <w:r>
        <w:rPr>
          <w:rFonts w:cs="Times New Roman" w:ascii="Times New Roman" w:hAnsi="Times New Roman"/>
          <w:sz w:val="28"/>
          <w:szCs w:val="28"/>
        </w:rPr>
        <w:t xml:space="preserve">Скорее всего,  и в этом случае установка счётчика тоже со временем окупится, просто нужно будет больше времени. </w:t>
      </w:r>
    </w:p>
    <w:p>
      <w:pPr>
        <w:pStyle w:val="Style16"/>
        <w:spacing w:lineRule="auto" w:line="288" w:before="0" w:after="0"/>
        <w:jc w:val="both"/>
        <w:rPr>
          <w:color w:val="2E74B5"/>
          <w:sz w:val="28"/>
          <w:szCs w:val="28"/>
        </w:rPr>
      </w:pPr>
      <w:r>
        <w:rPr>
          <w:sz w:val="28"/>
          <w:szCs w:val="28"/>
        </w:rPr>
        <w:t>Что же касается других коммунальных услуг, то здесь особого выбора потребителю не дают. Не хочешь устанавливать счётчик, значит плати по нормативу плюс повышающий коэффициент.</w:t>
      </w:r>
    </w:p>
    <w:p>
      <w:pPr>
        <w:pStyle w:val="Normal"/>
        <w:shd w:val="clear" w:color="auto" w:fill="FFFFFF" w:themeFill="background1"/>
        <w:spacing w:lineRule="auto" w:line="288" w:before="0" w:after="0"/>
        <w:rPr>
          <w:rFonts w:ascii="Times New Roman" w:hAnsi="Times New Roman" w:cs="Times New Roman"/>
          <w:color w:val="2E74B5"/>
          <w:sz w:val="28"/>
          <w:szCs w:val="28"/>
        </w:rPr>
      </w:pPr>
      <w:r>
        <w:rPr>
          <w:rFonts w:cs="Times New Roman" w:ascii="Times New Roman" w:hAnsi="Times New Roman"/>
          <w:color w:val="2E74B5"/>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hemeFill="background1"/>
        <w:spacing w:lineRule="auto" w:line="288"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88" w:before="0" w:after="0"/>
        <w:jc w:val="both"/>
        <w:rPr>
          <w:rFonts w:ascii="Times New Roman" w:hAnsi="Times New Roman" w:cs="Times New Roman"/>
          <w:sz w:val="28"/>
          <w:szCs w:val="28"/>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Основной текст Знак"/>
    <w:basedOn w:val="DefaultParagraphFont"/>
    <w:qFormat/>
    <w:rsid w:val="00b20258"/>
    <w:rPr>
      <w:rFonts w:ascii="Times New Roman" w:hAnsi="Times New Roman" w:eastAsia="Times New Roman" w:cs="Times New Roman"/>
      <w:sz w:val="24"/>
      <w:szCs w:val="24"/>
      <w:lang w:eastAsia="zh-CN"/>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link w:val="Style14"/>
    <w:rsid w:val="00b20258"/>
    <w:pPr>
      <w:suppressAutoHyphens w:val="true"/>
      <w:spacing w:lineRule="auto" w:line="276" w:before="0" w:after="140"/>
    </w:pPr>
    <w:rPr>
      <w:rFonts w:ascii="Times New Roman" w:hAnsi="Times New Roman" w:eastAsia="Times New Roman" w:cs="Times New Roman"/>
      <w:sz w:val="24"/>
      <w:szCs w:val="24"/>
      <w:lang w:eastAsia="zh-CN"/>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34"/>
    <w:qFormat/>
    <w:rsid w:val="00e2736e"/>
    <w:pPr>
      <w:spacing w:before="0" w:after="160"/>
      <w:ind w:left="720" w:hanging="0"/>
      <w:contextualSpacing/>
    </w:pPr>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e273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Application>LibreOffice/7.4.5.1$Windows_X86_64 LibreOffice_project/9c0871452b3918c1019dde9bfac75448afc4b57f</Application>
  <AppVersion>15.0000</AppVersion>
  <Pages>3</Pages>
  <Words>734</Words>
  <Characters>4493</Characters>
  <CharactersWithSpaces>5197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РПН</dc:creator>
  <dc:description/>
  <dc:language>ru-RU</dc:language>
  <cp:lastModifiedBy/>
  <dcterms:modified xsi:type="dcterms:W3CDTF">2023-03-09T13:02:51Z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