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59DB" w:rsidRPr="007359DB" w:rsidRDefault="007359DB" w:rsidP="007359DB">
      <w:pPr>
        <w:jc w:val="center"/>
        <w:rPr>
          <w:b/>
          <w:sz w:val="28"/>
          <w:szCs w:val="28"/>
        </w:rPr>
      </w:pPr>
      <w:r w:rsidRPr="007359DB">
        <w:rPr>
          <w:b/>
          <w:sz w:val="28"/>
          <w:szCs w:val="28"/>
        </w:rPr>
        <w:t>РОССИЙСКАЯ ФЕДЕРАЦИЯ</w:t>
      </w:r>
    </w:p>
    <w:p w:rsidR="007359DB" w:rsidRPr="007359DB" w:rsidRDefault="007359DB" w:rsidP="007359DB">
      <w:pPr>
        <w:jc w:val="center"/>
        <w:rPr>
          <w:b/>
          <w:sz w:val="28"/>
          <w:szCs w:val="28"/>
        </w:rPr>
      </w:pPr>
      <w:r w:rsidRPr="007359DB">
        <w:rPr>
          <w:b/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7359DB" w:rsidRPr="007359DB" w:rsidRDefault="007359DB" w:rsidP="007359DB">
      <w:pPr>
        <w:jc w:val="center"/>
        <w:rPr>
          <w:b/>
          <w:sz w:val="28"/>
          <w:szCs w:val="28"/>
        </w:rPr>
      </w:pPr>
    </w:p>
    <w:p w:rsidR="007359DB" w:rsidRPr="007359DB" w:rsidRDefault="007359DB" w:rsidP="007359DB">
      <w:pPr>
        <w:jc w:val="center"/>
        <w:rPr>
          <w:b/>
          <w:sz w:val="28"/>
          <w:szCs w:val="28"/>
        </w:rPr>
      </w:pPr>
      <w:r w:rsidRPr="007359DB">
        <w:rPr>
          <w:b/>
          <w:sz w:val="28"/>
          <w:szCs w:val="28"/>
        </w:rPr>
        <w:t xml:space="preserve">Восемьдесят седьмое заседание Совета депутатов </w:t>
      </w:r>
      <w:proofErr w:type="spellStart"/>
      <w:r w:rsidRPr="007359DB">
        <w:rPr>
          <w:b/>
          <w:sz w:val="28"/>
          <w:szCs w:val="28"/>
        </w:rPr>
        <w:t>Бакурского</w:t>
      </w:r>
      <w:proofErr w:type="spellEnd"/>
      <w:r w:rsidRPr="007359DB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7359DB">
        <w:rPr>
          <w:b/>
          <w:sz w:val="28"/>
          <w:szCs w:val="28"/>
        </w:rPr>
        <w:t>Екатериновского</w:t>
      </w:r>
      <w:proofErr w:type="spellEnd"/>
      <w:r w:rsidRPr="007359DB">
        <w:rPr>
          <w:b/>
          <w:sz w:val="28"/>
          <w:szCs w:val="28"/>
        </w:rPr>
        <w:t xml:space="preserve"> муниципального района Саратовской области второго созыва </w:t>
      </w:r>
    </w:p>
    <w:p w:rsidR="007359DB" w:rsidRDefault="007359DB" w:rsidP="00735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9DB" w:rsidRDefault="007359DB" w:rsidP="007359D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359DB" w:rsidRDefault="007359DB" w:rsidP="007359D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359DB" w:rsidRDefault="007359DB" w:rsidP="007359D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 мая 2023 года                 № 87 -226</w:t>
      </w:r>
    </w:p>
    <w:p w:rsidR="00CF1032" w:rsidRPr="001D0E6D" w:rsidRDefault="00CF1032">
      <w:pPr>
        <w:shd w:val="clear" w:color="auto" w:fill="FFFFFF"/>
        <w:ind w:right="4535" w:firstLine="0"/>
        <w:jc w:val="left"/>
        <w:rPr>
          <w:sz w:val="26"/>
          <w:szCs w:val="26"/>
        </w:rPr>
      </w:pPr>
    </w:p>
    <w:p w:rsidR="00CF1032" w:rsidRPr="00B515CF" w:rsidRDefault="00CF1032" w:rsidP="00EF5F13">
      <w:pPr>
        <w:shd w:val="clear" w:color="auto" w:fill="FFFFF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515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B515C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Совета депутатов </w:t>
      </w:r>
      <w:proofErr w:type="spellStart"/>
      <w:r w:rsidR="007359DB">
        <w:rPr>
          <w:rFonts w:ascii="Times New Roman" w:hAnsi="Times New Roman" w:cs="Times New Roman"/>
          <w:b/>
          <w:sz w:val="28"/>
          <w:szCs w:val="28"/>
          <w:lang w:eastAsia="ru-RU" w:bidi="ru-RU"/>
        </w:rPr>
        <w:t>Бакурского</w:t>
      </w:r>
      <w:proofErr w:type="spellEnd"/>
      <w:r w:rsidR="007359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B515C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 w:rsidRPr="00B515CF">
        <w:rPr>
          <w:rFonts w:ascii="Times New Roman" w:hAnsi="Times New Roman" w:cs="Times New Roman"/>
          <w:b/>
          <w:sz w:val="28"/>
          <w:szCs w:val="28"/>
          <w:lang w:eastAsia="ru-RU" w:bidi="ru-RU"/>
        </w:rPr>
        <w:t>Екатериновского</w:t>
      </w:r>
      <w:proofErr w:type="spellEnd"/>
      <w:r w:rsidRPr="00B515C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муниципального района Саратовской области </w:t>
      </w:r>
      <w:r w:rsidR="007359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№ </w:t>
      </w:r>
      <w:r w:rsidR="007359DB" w:rsidRPr="007359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51-129 от 29 марта 2021 года </w:t>
      </w:r>
      <w:r w:rsidRPr="00B515CF">
        <w:rPr>
          <w:rFonts w:ascii="Times New Roman" w:hAnsi="Times New Roman" w:cs="Times New Roman"/>
          <w:b/>
          <w:sz w:val="28"/>
          <w:szCs w:val="28"/>
          <w:lang w:eastAsia="ru-RU" w:bidi="ru-RU"/>
        </w:rPr>
        <w:t>«</w:t>
      </w:r>
      <w:r w:rsidR="00EF5F13" w:rsidRPr="00D125D5">
        <w:rPr>
          <w:rFonts w:ascii="Times New Roman" w:hAnsi="Times New Roman" w:cs="Times New Roman"/>
          <w:b/>
          <w:bCs/>
          <w:sz w:val="28"/>
          <w:szCs w:val="28"/>
        </w:rPr>
        <w:t>Об имущественной поддержке малого и  среднего предпринимательства, а так же физических лиц,  не являющихся индивидуальными предпринимателями и применяющих  специальный налоговый режим «Налог на профессиональный доход»</w:t>
      </w:r>
    </w:p>
    <w:p w:rsidR="00EF5F13" w:rsidRDefault="00EF5F13">
      <w:pPr>
        <w:shd w:val="clear" w:color="auto" w:fill="FFFFFF"/>
        <w:ind w:firstLine="560"/>
        <w:rPr>
          <w:rFonts w:ascii="Times New Roman" w:hAnsi="Times New Roman" w:cs="Times New Roman"/>
          <w:sz w:val="28"/>
          <w:szCs w:val="28"/>
        </w:rPr>
      </w:pPr>
    </w:p>
    <w:p w:rsidR="00CF1032" w:rsidRPr="00B515CF" w:rsidRDefault="00CF1032">
      <w:pPr>
        <w:shd w:val="clear" w:color="auto" w:fill="FFFFFF"/>
        <w:ind w:firstLine="560"/>
        <w:rPr>
          <w:rFonts w:ascii="Times New Roman" w:hAnsi="Times New Roman" w:cs="Times New Roman"/>
          <w:b/>
          <w:bCs/>
          <w:sz w:val="28"/>
          <w:szCs w:val="28"/>
        </w:rPr>
      </w:pPr>
      <w:r w:rsidRPr="00B515CF">
        <w:rPr>
          <w:rFonts w:ascii="Times New Roman" w:hAnsi="Times New Roman" w:cs="Times New Roman"/>
          <w:sz w:val="28"/>
          <w:szCs w:val="28"/>
        </w:rPr>
        <w:t>В соответствии с Федерального закона от 06.10.2003 г. № 131-ФЗ "Об общих принципах организации местного самоуправления в Российской Федерации", Фе</w:t>
      </w:r>
      <w:r w:rsidR="00EF5F13">
        <w:rPr>
          <w:rFonts w:ascii="Times New Roman" w:hAnsi="Times New Roman" w:cs="Times New Roman"/>
          <w:sz w:val="28"/>
          <w:szCs w:val="28"/>
        </w:rPr>
        <w:t>деральным законом от 29.12.</w:t>
      </w:r>
      <w:r w:rsidRPr="00B515CF">
        <w:rPr>
          <w:rFonts w:ascii="Times New Roman" w:hAnsi="Times New Roman" w:cs="Times New Roman"/>
          <w:sz w:val="28"/>
          <w:szCs w:val="28"/>
        </w:rPr>
        <w:t xml:space="preserve">2022 г. № 605-ФЗ "О внесении изменений в отдельные законодательные акты Российской Федерации", Уставом </w:t>
      </w:r>
      <w:proofErr w:type="spellStart"/>
      <w:r w:rsidR="007359D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72A5E" w:rsidRPr="00B515CF">
        <w:rPr>
          <w:rFonts w:ascii="Times New Roman" w:hAnsi="Times New Roman" w:cs="Times New Roman"/>
          <w:sz w:val="28"/>
          <w:szCs w:val="28"/>
        </w:rPr>
        <w:t xml:space="preserve"> </w:t>
      </w:r>
      <w:r w:rsidRPr="00B515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515C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515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7359D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72A5E" w:rsidRPr="00B515CF">
        <w:rPr>
          <w:rFonts w:ascii="Times New Roman" w:hAnsi="Times New Roman" w:cs="Times New Roman"/>
          <w:sz w:val="28"/>
          <w:szCs w:val="28"/>
        </w:rPr>
        <w:t xml:space="preserve">  </w:t>
      </w:r>
      <w:r w:rsidRPr="00B515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F5F13" w:rsidRDefault="00EF5F13">
      <w:pPr>
        <w:shd w:val="clear" w:color="auto" w:fill="FFFFFF"/>
        <w:ind w:firstLine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32" w:rsidRPr="00B515CF" w:rsidRDefault="00CF1032" w:rsidP="00EF5F13">
      <w:pPr>
        <w:shd w:val="clear" w:color="auto" w:fill="FFFFFF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515CF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F1032" w:rsidRPr="00B515CF" w:rsidRDefault="00CF1032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515CF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="007359DB">
        <w:rPr>
          <w:rFonts w:ascii="Times New Roman" w:hAnsi="Times New Roman" w:cs="Times New Roman"/>
          <w:sz w:val="28"/>
          <w:szCs w:val="28"/>
        </w:rPr>
        <w:t>Бакурского</w:t>
      </w:r>
      <w:r w:rsidRPr="00B515C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B515C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B515C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515C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5F13">
        <w:rPr>
          <w:rFonts w:ascii="Times New Roman" w:hAnsi="Times New Roman" w:cs="Times New Roman"/>
          <w:sz w:val="28"/>
          <w:szCs w:val="28"/>
        </w:rPr>
        <w:t xml:space="preserve">района Саратовской области </w:t>
      </w:r>
      <w:r w:rsidR="007359DB" w:rsidRPr="007359DB">
        <w:rPr>
          <w:rFonts w:ascii="Times New Roman" w:hAnsi="Times New Roman" w:cs="Times New Roman"/>
          <w:sz w:val="28"/>
          <w:szCs w:val="28"/>
        </w:rPr>
        <w:t xml:space="preserve">№51-129 от 29 марта 2021 года </w:t>
      </w:r>
      <w:r w:rsidRPr="00B515CF">
        <w:rPr>
          <w:rFonts w:ascii="Times New Roman" w:hAnsi="Times New Roman" w:cs="Times New Roman"/>
          <w:sz w:val="28"/>
          <w:szCs w:val="28"/>
        </w:rPr>
        <w:t>«Об имущественной поддержке малого и среднего предпринимательства,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доход»» (далее — Решение), следующие изменения:</w:t>
      </w:r>
    </w:p>
    <w:p w:rsidR="00B333FD" w:rsidRDefault="00B333FD">
      <w:pPr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CF1032" w:rsidRPr="00B515CF">
        <w:rPr>
          <w:rFonts w:ascii="Times New Roman" w:hAnsi="Times New Roman" w:cs="Times New Roman"/>
          <w:sz w:val="28"/>
          <w:szCs w:val="28"/>
        </w:rPr>
        <w:t xml:space="preserve"> б) пункта 3 Приложение 1 к Решению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CF1032" w:rsidRPr="00B515CF" w:rsidRDefault="00B333FD" w:rsidP="00B333F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333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б)</w:t>
      </w:r>
      <w:r w:rsidR="00CF1032" w:rsidRPr="00B333FD">
        <w:rPr>
          <w:rFonts w:ascii="Times New Roman" w:hAnsi="Times New Roman" w:cs="Times New Roman"/>
          <w:sz w:val="28"/>
          <w:szCs w:val="28"/>
        </w:rPr>
        <w:t xml:space="preserve"> </w:t>
      </w:r>
      <w:r w:rsidRPr="00B33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5" w:anchor="/document/12161610/entry/0" w:history="1">
        <w:r w:rsidRPr="00B333F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B333FD">
        <w:rPr>
          <w:rFonts w:ascii="Times New Roman" w:hAnsi="Times New Roman" w:cs="Times New Roman"/>
          <w:sz w:val="28"/>
          <w:szCs w:val="28"/>
        </w:rPr>
        <w:t xml:space="preserve"> </w:t>
      </w:r>
      <w:r w:rsidRPr="00B333FD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июля 2008 года № 159-ФЗ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CF1032" w:rsidRPr="00B515CF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движимого и недвижимого имущества, находящегося в государственной или в </w:t>
      </w:r>
      <w:r w:rsidR="00CF1032" w:rsidRPr="00B515CF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и арендуемого субъектами малого и среднего предпринимательства</w:t>
      </w:r>
      <w:proofErr w:type="gramEnd"/>
      <w:r w:rsidR="00CF1032" w:rsidRPr="00B515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F1032" w:rsidRPr="00B515CF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 (далее – Федеральный закон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E07BD" w:rsidRPr="00FE07B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случаях, указанных в </w:t>
      </w:r>
      <w:hyperlink r:id="rId6" w:anchor="/document/12124624/entry/39326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подпунктах 6</w:t>
        </w:r>
      </w:hyperlink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7" w:anchor="/document/12124624/entry/39328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8</w:t>
        </w:r>
      </w:hyperlink>
      <w:r w:rsidR="00FE07BD" w:rsidRPr="00FE07BD">
        <w:rPr>
          <w:rFonts w:ascii="Times New Roman" w:hAnsi="Times New Roman" w:cs="Times New Roman"/>
          <w:sz w:val="28"/>
          <w:szCs w:val="28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8" w:anchor="/document/12124624/entry/39329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9 пункта 2 статьи 39.3</w:t>
        </w:r>
      </w:hyperlink>
      <w:r w:rsidR="00FE07BD" w:rsidRPr="00FE07BD">
        <w:rPr>
          <w:rFonts w:ascii="Times New Roman" w:hAnsi="Times New Roman" w:cs="Times New Roman"/>
          <w:sz w:val="28"/>
          <w:szCs w:val="28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кодекса</w:t>
      </w:r>
      <w:proofErr w:type="gramEnd"/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CF1032" w:rsidRPr="00B515CF">
        <w:rPr>
          <w:rFonts w:ascii="Times New Roman" w:hAnsi="Times New Roman" w:cs="Times New Roman"/>
          <w:sz w:val="28"/>
          <w:szCs w:val="28"/>
        </w:rPr>
        <w:t>;</w:t>
      </w:r>
    </w:p>
    <w:p w:rsidR="00B333FD" w:rsidRDefault="00B333FD">
      <w:pPr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FE07BD">
        <w:rPr>
          <w:rFonts w:ascii="Times New Roman" w:hAnsi="Times New Roman" w:cs="Times New Roman"/>
          <w:sz w:val="28"/>
          <w:szCs w:val="28"/>
        </w:rPr>
        <w:t xml:space="preserve"> б) пункта 12</w:t>
      </w:r>
      <w:r w:rsidR="00CF1032" w:rsidRPr="00B515CF">
        <w:rPr>
          <w:rFonts w:ascii="Times New Roman" w:hAnsi="Times New Roman" w:cs="Times New Roman"/>
          <w:sz w:val="28"/>
          <w:szCs w:val="28"/>
        </w:rPr>
        <w:t xml:space="preserve"> Приложение 1 к Решению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редакции; </w:t>
      </w:r>
    </w:p>
    <w:p w:rsidR="00CF1032" w:rsidRPr="00B333FD" w:rsidRDefault="00B333FD" w:rsidP="00B333F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333FD">
        <w:rPr>
          <w:rFonts w:ascii="Times New Roman" w:hAnsi="Times New Roman" w:cs="Times New Roman"/>
          <w:sz w:val="28"/>
          <w:szCs w:val="28"/>
        </w:rPr>
        <w:t>«</w:t>
      </w:r>
      <w:r w:rsidRPr="00B333FD">
        <w:rPr>
          <w:rFonts w:ascii="Times New Roman" w:hAnsi="Times New Roman" w:cs="Times New Roman"/>
          <w:color w:val="000000"/>
          <w:sz w:val="28"/>
          <w:szCs w:val="28"/>
        </w:rPr>
        <w:t>б) если право собственности</w:t>
      </w:r>
      <w:r w:rsidRPr="00B33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359DB">
        <w:rPr>
          <w:rFonts w:ascii="Times New Roman" w:hAnsi="Times New Roman" w:cs="Times New Roman"/>
          <w:sz w:val="28"/>
          <w:szCs w:val="28"/>
          <w:shd w:val="clear" w:color="auto" w:fill="FFFFFF"/>
        </w:rPr>
        <w:t>Бакурского</w:t>
      </w:r>
      <w:proofErr w:type="spellEnd"/>
      <w:r w:rsidRPr="00B33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</w:t>
      </w:r>
      <w:r w:rsidRPr="00B33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3F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333F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="00CF1032" w:rsidRPr="00B333FD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</w:t>
      </w:r>
      <w:proofErr w:type="gramEnd"/>
      <w:r w:rsidR="00CF1032" w:rsidRPr="00B333FD">
        <w:rPr>
          <w:rFonts w:ascii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Федерации»</w:t>
      </w:r>
      <w:r w:rsidR="00FE07BD" w:rsidRPr="00FE07B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случаях, указанных в </w:t>
      </w:r>
      <w:hyperlink r:id="rId9" w:anchor="/document/12124624/entry/39326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подпунктах 6</w:t>
        </w:r>
      </w:hyperlink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anchor="/document/12124624/entry/39328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8</w:t>
        </w:r>
      </w:hyperlink>
      <w:r w:rsidR="00FE07BD" w:rsidRPr="00FE07BD">
        <w:rPr>
          <w:rFonts w:ascii="Times New Roman" w:hAnsi="Times New Roman" w:cs="Times New Roman"/>
          <w:sz w:val="28"/>
          <w:szCs w:val="28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1" w:anchor="/document/12124624/entry/39329" w:history="1">
        <w:r w:rsidR="00FE07BD" w:rsidRPr="00FE07BD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9 пункта 2 статьи 39.3</w:t>
        </w:r>
      </w:hyperlink>
      <w:r w:rsidR="00FE07BD" w:rsidRPr="00FE07BD">
        <w:rPr>
          <w:rFonts w:ascii="Times New Roman" w:hAnsi="Times New Roman" w:cs="Times New Roman"/>
          <w:sz w:val="28"/>
          <w:szCs w:val="28"/>
        </w:rPr>
        <w:t xml:space="preserve"> </w:t>
      </w:r>
      <w:r w:rsidR="00FE07BD" w:rsidRPr="00FE07BD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кодекса Российской Федерации</w:t>
      </w:r>
      <w:r w:rsidR="00CF1032" w:rsidRPr="00B333FD">
        <w:rPr>
          <w:rFonts w:ascii="Times New Roman" w:hAnsi="Times New Roman" w:cs="Times New Roman"/>
          <w:sz w:val="28"/>
          <w:szCs w:val="28"/>
        </w:rPr>
        <w:t>.</w:t>
      </w:r>
    </w:p>
    <w:p w:rsidR="00CF1032" w:rsidRPr="00B515CF" w:rsidRDefault="00CF1032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1D0E6D" w:rsidRPr="00B515CF" w:rsidRDefault="001D0E6D" w:rsidP="00FE07BD">
      <w:pPr>
        <w:ind w:firstLine="709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515CF">
        <w:rPr>
          <w:rFonts w:ascii="Times New Roman" w:hAnsi="Times New Roman"/>
          <w:sz w:val="28"/>
          <w:szCs w:val="28"/>
        </w:rPr>
        <w:t>2.</w:t>
      </w:r>
      <w:r w:rsidR="00172A5E" w:rsidRPr="00B515CF">
        <w:rPr>
          <w:rFonts w:ascii="Times New Roman" w:hAnsi="Times New Roman"/>
          <w:sz w:val="28"/>
          <w:szCs w:val="28"/>
        </w:rPr>
        <w:t xml:space="preserve"> Н</w:t>
      </w:r>
      <w:r w:rsidRPr="00B515CF">
        <w:rPr>
          <w:rFonts w:ascii="Times New Roman" w:hAnsi="Times New Roman"/>
          <w:sz w:val="28"/>
          <w:szCs w:val="28"/>
        </w:rPr>
        <w:t xml:space="preserve">астоящее решение </w:t>
      </w:r>
      <w:r w:rsidR="00172A5E" w:rsidRPr="00B515CF">
        <w:rPr>
          <w:rFonts w:ascii="Times New Roman" w:hAnsi="Times New Roman"/>
          <w:sz w:val="28"/>
          <w:szCs w:val="28"/>
        </w:rPr>
        <w:t>вступает в силу после его официа</w:t>
      </w:r>
      <w:r w:rsidR="00FE07BD">
        <w:rPr>
          <w:rFonts w:ascii="Times New Roman" w:hAnsi="Times New Roman"/>
          <w:sz w:val="28"/>
          <w:szCs w:val="28"/>
        </w:rPr>
        <w:t>льного обнародования</w:t>
      </w:r>
      <w:r w:rsidR="00172A5E" w:rsidRPr="00B515CF">
        <w:rPr>
          <w:rFonts w:ascii="Times New Roman" w:hAnsi="Times New Roman"/>
          <w:sz w:val="28"/>
          <w:szCs w:val="28"/>
        </w:rPr>
        <w:t>.</w:t>
      </w:r>
    </w:p>
    <w:p w:rsidR="001D0E6D" w:rsidRPr="00B515CF" w:rsidRDefault="001D0E6D" w:rsidP="001D0E6D">
      <w:pPr>
        <w:pStyle w:val="af5"/>
        <w:ind w:firstLine="709"/>
        <w:rPr>
          <w:rFonts w:ascii="Times New Roman" w:hAnsi="Times New Roman"/>
          <w:b/>
          <w:sz w:val="28"/>
          <w:szCs w:val="28"/>
        </w:rPr>
      </w:pPr>
    </w:p>
    <w:p w:rsidR="001D0E6D" w:rsidRPr="00B515CF" w:rsidRDefault="001D0E6D" w:rsidP="001D0E6D">
      <w:pPr>
        <w:pStyle w:val="af5"/>
        <w:ind w:firstLine="709"/>
        <w:rPr>
          <w:rFonts w:ascii="Times New Roman" w:hAnsi="Times New Roman"/>
          <w:b/>
          <w:sz w:val="28"/>
          <w:szCs w:val="28"/>
        </w:rPr>
      </w:pPr>
    </w:p>
    <w:p w:rsidR="001D0E6D" w:rsidRPr="00B515CF" w:rsidRDefault="001D0E6D" w:rsidP="001D0E6D">
      <w:pPr>
        <w:pStyle w:val="af5"/>
        <w:rPr>
          <w:rFonts w:ascii="Times New Roman" w:hAnsi="Times New Roman"/>
          <w:b/>
          <w:sz w:val="28"/>
          <w:szCs w:val="28"/>
        </w:rPr>
      </w:pPr>
      <w:r w:rsidRPr="00B515C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7359DB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1D0E6D" w:rsidRPr="00B515CF" w:rsidRDefault="001D0E6D" w:rsidP="001D0E6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515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7359DB">
        <w:rPr>
          <w:rFonts w:ascii="Times New Roman" w:hAnsi="Times New Roman" w:cs="Times New Roman"/>
          <w:b/>
          <w:sz w:val="28"/>
          <w:szCs w:val="28"/>
        </w:rPr>
        <w:t>И.Г.Казарина</w:t>
      </w:r>
      <w:r w:rsidRPr="00B515C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F1032" w:rsidRDefault="00CF1032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EF5F13" w:rsidRDefault="00EF5F13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7359DB" w:rsidRDefault="007359DB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7359DB" w:rsidRDefault="007359DB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p w:rsidR="007359DB" w:rsidRDefault="007359DB">
      <w:pPr>
        <w:tabs>
          <w:tab w:val="right" w:pos="10318"/>
        </w:tabs>
        <w:ind w:firstLine="0"/>
        <w:jc w:val="left"/>
        <w:rPr>
          <w:sz w:val="28"/>
          <w:szCs w:val="28"/>
        </w:rPr>
      </w:pPr>
    </w:p>
    <w:sectPr w:rsidR="007359DB" w:rsidSect="001D0E6D">
      <w:pgSz w:w="11906" w:h="16800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kern w:val="1"/>
        <w:position w:val="0"/>
        <w:sz w:val="28"/>
        <w:szCs w:val="28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1D0E6D"/>
    <w:rsid w:val="00172A5E"/>
    <w:rsid w:val="001D0E6D"/>
    <w:rsid w:val="007359DB"/>
    <w:rsid w:val="00A01708"/>
    <w:rsid w:val="00B333FD"/>
    <w:rsid w:val="00B515CF"/>
    <w:rsid w:val="00CF1032"/>
    <w:rsid w:val="00EF5F13"/>
    <w:rsid w:val="00FE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kern w:val="1"/>
      <w:position w:val="0"/>
      <w:sz w:val="28"/>
      <w:szCs w:val="28"/>
      <w:vertAlign w:val="baseline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kern w:val="1"/>
      <w:position w:val="0"/>
      <w:sz w:val="28"/>
      <w:szCs w:val="28"/>
      <w:vertAlign w:val="baseline"/>
    </w:rPr>
  </w:style>
  <w:style w:type="character" w:customStyle="1" w:styleId="WW8Num2z2">
    <w:name w:val="WW8Num2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8"/>
      <w:szCs w:val="28"/>
      <w:vertAlign w:val="baseline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qFormat/>
    <w:rPr>
      <w:b/>
      <w:bCs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Гипертекстовая ссылка"/>
    <w:rPr>
      <w:b/>
      <w:bCs/>
      <w:color w:val="106BBE"/>
    </w:rPr>
  </w:style>
  <w:style w:type="character" w:customStyle="1" w:styleId="a8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9">
    <w:name w:val="Цветовое выделение"/>
    <w:rPr>
      <w:b/>
      <w:bCs/>
      <w:color w:val="26282F"/>
    </w:rPr>
  </w:style>
  <w:style w:type="character" w:styleId="aa">
    <w:name w:val="Hyperlink"/>
    <w:rPr>
      <w:color w:val="000080"/>
      <w:u w:val="single"/>
      <w:lang/>
    </w:rPr>
  </w:style>
  <w:style w:type="character" w:customStyle="1" w:styleId="ab">
    <w:name w:val="Символ нумерации"/>
    <w:rPr>
      <w:sz w:val="28"/>
      <w:szCs w:val="28"/>
    </w:rPr>
  </w:style>
  <w:style w:type="character" w:customStyle="1" w:styleId="ac">
    <w:name w:val="Исходный текст"/>
    <w:rPr>
      <w:rFonts w:ascii="Courier New" w:eastAsia="NSimSun" w:hAnsi="Courier New" w:cs="Courier New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pPr>
      <w:suppressAutoHyphens/>
      <w:spacing w:before="280" w:after="280"/>
    </w:pPr>
    <w:rPr>
      <w:sz w:val="24"/>
      <w:szCs w:val="24"/>
      <w:lang w:val="en-US"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Нормальный (таблица)"/>
    <w:basedOn w:val="a"/>
    <w:next w:val="a"/>
    <w:pPr>
      <w:ind w:firstLine="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5">
    <w:name w:val="No Spacing"/>
    <w:uiPriority w:val="1"/>
    <w:qFormat/>
    <w:rsid w:val="001D0E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Links>
    <vt:vector size="216" baseType="variant">
      <vt:variant>
        <vt:i4>6094936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/document/12112509/entry/1</vt:lpwstr>
      </vt:variant>
      <vt:variant>
        <vt:i4>8060981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consultantplus://offline/ref=44547BCEAEE1D80E4E509E97E5579ACC4C24A76ED478C0C5031B04D0DFD938D468E1093B2147D7D174ED557288FE52116EC168F5iFL3M</vt:lpwstr>
      </vt:variant>
      <vt:variant>
        <vt:lpwstr/>
      </vt:variant>
      <vt:variant>
        <vt:i4>8060981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consultantplus://offline/ref=44547BCEAEE1D80E4E509E97E5579ACC4C24A76ED478C0C5031B04D0DFD938D468E1093B2147D7D174ED557288FE52116EC168F5iFL3M</vt:lpwstr>
      </vt:variant>
      <vt:variant>
        <vt:lpwstr/>
      </vt:variant>
      <vt:variant>
        <vt:i4>8060977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consultantplus://offline/ref=44547BCEAEE1D80E4E509E97E5579ACC4C24A76ED478C0C5031B04D0DFD938D468E1093B2547D7D174ED557288FE52116EC168F5iFL3M</vt:lpwstr>
      </vt:variant>
      <vt:variant>
        <vt:lpwstr/>
      </vt:variant>
      <vt:variant>
        <vt:i4>4662535</vt:i4>
      </vt:variant>
      <vt:variant>
        <vt:i4>93</vt:i4>
      </vt:variant>
      <vt:variant>
        <vt:i4>0</vt:i4>
      </vt:variant>
      <vt:variant>
        <vt:i4>5</vt:i4>
      </vt:variant>
      <vt:variant>
        <vt:lpwstr>C:\Users\admin34\Desktop\2021 год\решения\реш.№ 54-129 от 26.03.2021 г. поддержка ИП.doc</vt:lpwstr>
      </vt:variant>
      <vt:variant>
        <vt:lpwstr>P67</vt:lpwstr>
      </vt:variant>
      <vt:variant>
        <vt:i4>6684700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6684700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6684700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6684700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6160472</vt:i4>
      </vt:variant>
      <vt:variant>
        <vt:i4>78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5767255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/document/12124624/entry/39329</vt:lpwstr>
      </vt:variant>
      <vt:variant>
        <vt:i4>5832791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/document/12124624/entry/39328</vt:lpwstr>
      </vt:variant>
      <vt:variant>
        <vt:i4>5701719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/document/12124624/entry/39326</vt:lpwstr>
      </vt:variant>
      <vt:variant>
        <vt:i4>6422629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/document/12124624/entry/3911819</vt:lpwstr>
      </vt:variant>
      <vt:variant>
        <vt:i4>6488165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/document/12124624/entry/3911818</vt:lpwstr>
      </vt:variant>
      <vt:variant>
        <vt:i4>6815845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/document/12124624/entry/3911813</vt:lpwstr>
      </vt:variant>
      <vt:variant>
        <vt:i4>5963860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/document/12124624/entry/391181</vt:lpwstr>
      </vt:variant>
      <vt:variant>
        <vt:i4>5767255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/document/12124624/entry/39329</vt:lpwstr>
      </vt:variant>
      <vt:variant>
        <vt:i4>5832791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/document/12124624/entry/39328</vt:lpwstr>
      </vt:variant>
      <vt:variant>
        <vt:i4>5701719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/document/12124624/entry/39326</vt:lpwstr>
      </vt:variant>
      <vt:variant>
        <vt:i4>5308506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/document/12161610/entry/0</vt:lpwstr>
      </vt:variant>
      <vt:variant>
        <vt:i4>393226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consultantplus://offline/ref=453530E9E1D5A28ABDC5D0C065CBF6E5571919825C701674452BB6FF6412A0E607B18D5CDE94833069E54580863B380C87BF67CC18V3m8H</vt:lpwstr>
      </vt:variant>
      <vt:variant>
        <vt:lpwstr/>
      </vt:variant>
      <vt:variant>
        <vt:i4>393227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consultantplus://offline/ref=453530E9E1D5A28ABDC5D0C065CBF6E5571919825C701674452BB6FF6412A0E607B18D5CDE95833069E54580863B380C87BF67CC18V3m8H</vt:lpwstr>
      </vt:variant>
      <vt:variant>
        <vt:lpwstr/>
      </vt:variant>
      <vt:variant>
        <vt:i4>393222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consultantplus://offline/ref=453530E9E1D5A28ABDC5D0C065CBF6E5571919825C701674452BB6FF6412A0E607B18D5CDE98833069E54580863B380C87BF67CC18V3m8H</vt:lpwstr>
      </vt:variant>
      <vt:variant>
        <vt:lpwstr/>
      </vt:variant>
      <vt:variant>
        <vt:i4>393307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consultantplus://offline/ref=453530E9E1D5A28ABDC5D0C065CBF6E5571919825C701674452BB6FF6412A0E607B18D5CDE9E833069E54580863B380C87BF67CC18V3m8H</vt:lpwstr>
      </vt:variant>
      <vt:variant>
        <vt:lpwstr/>
      </vt:variant>
      <vt:variant>
        <vt:i4>393306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consultantplus://offline/ref=453530E9E1D5A28ABDC5D0C065CBF6E5571919825C701674452BB6FF6412A0E607B18D5CDE9D833069E54580863B380C87BF67CC18V3m8H</vt:lpwstr>
      </vt:variant>
      <vt:variant>
        <vt:lpwstr/>
      </vt:variant>
      <vt:variant>
        <vt:i4>7077951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consultantplus://offline/ref=453530E9E1D5A28ABDC5D0C065CBF6E5571919825C701674452BB6FF6412A0E607B18D5BDB9D896F6CF054D88938271286A07BCE1A3AVDm1H</vt:lpwstr>
      </vt:variant>
      <vt:variant>
        <vt:lpwstr/>
      </vt:variant>
      <vt:variant>
        <vt:i4>6684700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6684700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http://www.consultant.ru/document/cons_doc_LAW_354543/</vt:lpwstr>
      </vt:variant>
      <vt:variant>
        <vt:lpwstr>dst0</vt:lpwstr>
      </vt:variant>
      <vt:variant>
        <vt:i4>5767255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/document/12124624/entry/39329</vt:lpwstr>
      </vt:variant>
      <vt:variant>
        <vt:i4>5832791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/document/12124624/entry/39328</vt:lpwstr>
      </vt:variant>
      <vt:variant>
        <vt:i4>5701719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/document/12124624/entry/39326</vt:lpwstr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/document/12124624/entry/39329</vt:lpwstr>
      </vt:variant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/document/12124624/entry/39328</vt:lpwstr>
      </vt:variant>
      <vt:variant>
        <vt:i4>5701719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/document/12124624/entry/39326</vt:lpwstr>
      </vt:variant>
      <vt:variant>
        <vt:i4>5308506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/document/12161610/entry/0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2023-05-31T07:45:00Z</cp:lastPrinted>
  <dcterms:created xsi:type="dcterms:W3CDTF">2023-05-31T07:46:00Z</dcterms:created>
  <dcterms:modified xsi:type="dcterms:W3CDTF">2023-05-31T07:46:00Z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