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E" w:rsidRDefault="000F776E">
      <w:pPr>
        <w:pStyle w:val="a3"/>
        <w:ind w:left="118"/>
        <w:rPr>
          <w:rFonts w:ascii="Times New Roman"/>
          <w:sz w:val="20"/>
        </w:rPr>
      </w:pPr>
    </w:p>
    <w:p w:rsidR="000F776E" w:rsidRDefault="000F776E">
      <w:pPr>
        <w:pStyle w:val="a3"/>
        <w:rPr>
          <w:rFonts w:ascii="Times New Roman"/>
          <w:sz w:val="20"/>
        </w:rPr>
      </w:pPr>
    </w:p>
    <w:p w:rsidR="000F776E" w:rsidRDefault="000F776E">
      <w:pPr>
        <w:pStyle w:val="a3"/>
        <w:spacing w:before="4"/>
        <w:rPr>
          <w:rFonts w:ascii="Times New Roman"/>
          <w:sz w:val="28"/>
        </w:rPr>
      </w:pPr>
    </w:p>
    <w:p w:rsidR="000F776E" w:rsidRDefault="000F776E">
      <w:pPr>
        <w:rPr>
          <w:rFonts w:ascii="Times New Roman"/>
          <w:sz w:val="28"/>
        </w:rPr>
        <w:sectPr w:rsidR="000F776E">
          <w:type w:val="continuous"/>
          <w:pgSz w:w="16860" w:h="23850"/>
          <w:pgMar w:top="1180" w:right="1520" w:bottom="280" w:left="760" w:header="720" w:footer="720" w:gutter="0"/>
          <w:cols w:space="720"/>
        </w:sectPr>
      </w:pPr>
    </w:p>
    <w:p w:rsidR="000F776E" w:rsidRDefault="00D6331E">
      <w:pPr>
        <w:pStyle w:val="a3"/>
        <w:spacing w:before="95"/>
        <w:ind w:left="360"/>
      </w:pPr>
      <w:r>
        <w:rPr>
          <w:color w:val="45464E"/>
          <w:w w:val="95"/>
        </w:rPr>
        <w:lastRenderedPageBreak/>
        <w:t>Источник:</w:t>
      </w:r>
    </w:p>
    <w:p w:rsidR="000F776E" w:rsidRDefault="00D6331E">
      <w:pPr>
        <w:pStyle w:val="a3"/>
        <w:spacing w:before="95"/>
        <w:ind w:left="110"/>
      </w:pPr>
      <w:r>
        <w:br w:type="column"/>
      </w:r>
      <w:r>
        <w:lastRenderedPageBreak/>
        <w:t>Генеральная</w:t>
      </w:r>
      <w:r>
        <w:rPr>
          <w:spacing w:val="-13"/>
        </w:rPr>
        <w:t xml:space="preserve"> </w:t>
      </w:r>
      <w:r>
        <w:t>прокуратура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</w:p>
    <w:p w:rsidR="000F776E" w:rsidRDefault="00D6331E">
      <w:pPr>
        <w:pStyle w:val="a3"/>
        <w:spacing w:before="95"/>
        <w:ind w:left="360"/>
      </w:pPr>
      <w:r>
        <w:br w:type="column"/>
      </w:r>
      <w:r>
        <w:rPr>
          <w:color w:val="45464E"/>
          <w:spacing w:val="-2"/>
        </w:rPr>
        <w:lastRenderedPageBreak/>
        <w:t>Дата</w:t>
      </w:r>
      <w:r>
        <w:rPr>
          <w:color w:val="45464E"/>
          <w:spacing w:val="-6"/>
        </w:rPr>
        <w:t xml:space="preserve"> </w:t>
      </w:r>
      <w:r>
        <w:rPr>
          <w:color w:val="45464E"/>
          <w:spacing w:val="-2"/>
        </w:rPr>
        <w:t>публикации:</w:t>
      </w:r>
    </w:p>
    <w:p w:rsidR="000F776E" w:rsidRDefault="00D6331E">
      <w:pPr>
        <w:pStyle w:val="a3"/>
        <w:spacing w:before="95"/>
        <w:ind w:left="110"/>
      </w:pPr>
      <w:r>
        <w:br w:type="column"/>
      </w:r>
      <w:r>
        <w:lastRenderedPageBreak/>
        <w:t>8</w:t>
      </w:r>
      <w:r>
        <w:rPr>
          <w:spacing w:val="-10"/>
        </w:rPr>
        <w:t xml:space="preserve"> </w:t>
      </w:r>
      <w:r>
        <w:t>августа</w:t>
      </w:r>
      <w:r>
        <w:rPr>
          <w:spacing w:val="-9"/>
        </w:rPr>
        <w:t xml:space="preserve"> </w:t>
      </w:r>
      <w:r>
        <w:t>2023,</w:t>
      </w:r>
      <w:r>
        <w:rPr>
          <w:spacing w:val="-10"/>
        </w:rPr>
        <w:t xml:space="preserve"> </w:t>
      </w:r>
      <w:r>
        <w:t>10:00</w:t>
      </w:r>
    </w:p>
    <w:p w:rsidR="000F776E" w:rsidRDefault="000F776E">
      <w:pPr>
        <w:sectPr w:rsidR="000F776E">
          <w:type w:val="continuous"/>
          <w:pgSz w:w="16860" w:h="23850"/>
          <w:pgMar w:top="1180" w:right="1520" w:bottom="280" w:left="760" w:header="720" w:footer="720" w:gutter="0"/>
          <w:cols w:num="4" w:space="720" w:equalWidth="0">
            <w:col w:w="1501" w:space="40"/>
            <w:col w:w="5795" w:space="199"/>
            <w:col w:w="2374" w:space="39"/>
            <w:col w:w="4632"/>
          </w:cols>
        </w:sectPr>
      </w:pPr>
    </w:p>
    <w:p w:rsidR="000F776E" w:rsidRDefault="000F776E">
      <w:pPr>
        <w:pStyle w:val="a3"/>
        <w:rPr>
          <w:sz w:val="20"/>
        </w:rPr>
      </w:pPr>
    </w:p>
    <w:p w:rsidR="000F776E" w:rsidRDefault="000F776E">
      <w:pPr>
        <w:pStyle w:val="a3"/>
        <w:spacing w:before="1"/>
        <w:rPr>
          <w:sz w:val="15"/>
        </w:rPr>
      </w:pPr>
    </w:p>
    <w:p w:rsidR="000F776E" w:rsidRDefault="00D6331E">
      <w:pPr>
        <w:pStyle w:val="a4"/>
        <w:spacing w:line="300" w:lineRule="auto"/>
      </w:pPr>
      <w:r>
        <w:t>Поджоги</w:t>
      </w:r>
      <w:r>
        <w:rPr>
          <w:spacing w:val="-15"/>
        </w:rPr>
        <w:t xml:space="preserve"> </w:t>
      </w:r>
      <w:r>
        <w:t>военных</w:t>
      </w:r>
      <w:r>
        <w:rPr>
          <w:spacing w:val="-14"/>
        </w:rPr>
        <w:t xml:space="preserve"> </w:t>
      </w:r>
      <w:r>
        <w:t>комиссариатов</w:t>
      </w:r>
      <w:r>
        <w:rPr>
          <w:spacing w:val="-15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расценены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террористический</w:t>
      </w:r>
      <w:r>
        <w:rPr>
          <w:spacing w:val="-87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диверсия</w:t>
      </w:r>
    </w:p>
    <w:p w:rsidR="000F776E" w:rsidRDefault="00D6331E">
      <w:pPr>
        <w:pStyle w:val="a3"/>
        <w:spacing w:before="355" w:line="300" w:lineRule="auto"/>
        <w:ind w:left="270" w:right="106"/>
        <w:jc w:val="both"/>
      </w:pPr>
      <w:r>
        <w:t>В Генеральной прокуратуре Российской Федерации проанализирована ситуация, связанная с поджогами зданий военных</w:t>
      </w:r>
      <w:r>
        <w:rPr>
          <w:spacing w:val="1"/>
        </w:rPr>
        <w:t xml:space="preserve"> </w:t>
      </w:r>
      <w:r>
        <w:t>комиссариатов.</w:t>
      </w:r>
    </w:p>
    <w:p w:rsidR="000F776E" w:rsidRDefault="00D6331E">
      <w:pPr>
        <w:pStyle w:val="a3"/>
        <w:spacing w:before="240" w:line="300" w:lineRule="auto"/>
        <w:ind w:left="270" w:right="106"/>
        <w:jc w:val="both"/>
      </w:pPr>
      <w:r>
        <w:t>Все эти преступления совершены гражданами Российской Федерации по так называемым «указаниям», поступившим им</w:t>
      </w:r>
      <w:r>
        <w:rPr>
          <w:spacing w:val="1"/>
        </w:rPr>
        <w:t xml:space="preserve"> </w:t>
      </w:r>
      <w:r>
        <w:t>по телефону с территории Украины. Установлено, что звонки носили массовый характер и по времени совпадали с датами</w:t>
      </w:r>
      <w:r>
        <w:rPr>
          <w:spacing w:val="-57"/>
        </w:rPr>
        <w:t xml:space="preserve"> </w:t>
      </w:r>
      <w:r>
        <w:t>успешного</w:t>
      </w:r>
      <w:r>
        <w:rPr>
          <w:spacing w:val="54"/>
        </w:rPr>
        <w:t xml:space="preserve"> </w:t>
      </w:r>
      <w:r>
        <w:t>продвижения</w:t>
      </w:r>
      <w:r>
        <w:rPr>
          <w:spacing w:val="55"/>
        </w:rPr>
        <w:t xml:space="preserve"> </w:t>
      </w:r>
      <w:r>
        <w:t>Вооруженных</w:t>
      </w:r>
      <w:r>
        <w:rPr>
          <w:spacing w:val="55"/>
        </w:rPr>
        <w:t xml:space="preserve"> </w:t>
      </w:r>
      <w:r>
        <w:t>Сил</w:t>
      </w:r>
      <w:r>
        <w:rPr>
          <w:spacing w:val="55"/>
        </w:rPr>
        <w:t xml:space="preserve"> </w:t>
      </w:r>
      <w:r>
        <w:t>Российской</w:t>
      </w:r>
      <w:r>
        <w:rPr>
          <w:spacing w:val="54"/>
        </w:rPr>
        <w:t xml:space="preserve"> </w:t>
      </w:r>
      <w:r>
        <w:t>Федерации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зоне</w:t>
      </w:r>
      <w:r>
        <w:rPr>
          <w:spacing w:val="55"/>
        </w:rPr>
        <w:t xml:space="preserve"> </w:t>
      </w:r>
      <w:r>
        <w:t>проведения</w:t>
      </w:r>
      <w:r>
        <w:rPr>
          <w:spacing w:val="54"/>
        </w:rPr>
        <w:t xml:space="preserve"> </w:t>
      </w:r>
      <w:r>
        <w:t>специальной</w:t>
      </w:r>
      <w:r>
        <w:rPr>
          <w:spacing w:val="55"/>
        </w:rPr>
        <w:t xml:space="preserve"> </w:t>
      </w:r>
      <w:r>
        <w:t>военной</w:t>
      </w:r>
      <w:r>
        <w:rPr>
          <w:spacing w:val="55"/>
        </w:rPr>
        <w:t xml:space="preserve"> </w:t>
      </w:r>
      <w:r>
        <w:t>операции.</w:t>
      </w:r>
      <w:r>
        <w:rPr>
          <w:spacing w:val="-57"/>
        </w:rPr>
        <w:t xml:space="preserve"> </w:t>
      </w:r>
      <w:proofErr w:type="gramStart"/>
      <w:r>
        <w:t>Лица,</w:t>
      </w:r>
      <w:r>
        <w:rPr>
          <w:spacing w:val="1"/>
        </w:rPr>
        <w:t xml:space="preserve"> </w:t>
      </w:r>
      <w:r>
        <w:t>финансированием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киевским</w:t>
      </w:r>
      <w:r>
        <w:rPr>
          <w:spacing w:val="1"/>
        </w:rPr>
        <w:t xml:space="preserve"> </w:t>
      </w:r>
      <w:r>
        <w:t>режимом,</w:t>
      </w:r>
      <w:r>
        <w:rPr>
          <w:spacing w:val="1"/>
        </w:rPr>
        <w:t xml:space="preserve"> </w:t>
      </w:r>
      <w:r>
        <w:t>представлялись</w:t>
      </w:r>
      <w:r>
        <w:rPr>
          <w:spacing w:val="1"/>
        </w:rPr>
        <w:t xml:space="preserve"> </w:t>
      </w:r>
      <w:r>
        <w:t>сотрудниками</w:t>
      </w:r>
      <w:r>
        <w:rPr>
          <w:spacing w:val="-8"/>
        </w:rPr>
        <w:t xml:space="preserve"> </w:t>
      </w:r>
      <w:r>
        <w:t>правоохранительных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кредитных</w:t>
      </w:r>
      <w:r>
        <w:rPr>
          <w:spacing w:val="-8"/>
        </w:rPr>
        <w:t xml:space="preserve"> </w:t>
      </w:r>
      <w:r>
        <w:t>учреждений,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якобы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погашения</w:t>
      </w:r>
      <w:r>
        <w:rPr>
          <w:spacing w:val="-7"/>
        </w:rPr>
        <w:t xml:space="preserve"> </w:t>
      </w:r>
      <w:r>
        <w:t>кредитных</w:t>
      </w:r>
      <w:r>
        <w:rPr>
          <w:spacing w:val="-7"/>
        </w:rPr>
        <w:t xml:space="preserve"> </w:t>
      </w:r>
      <w:r>
        <w:t>обязательств,</w:t>
      </w:r>
      <w:r>
        <w:rPr>
          <w:spacing w:val="-57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задержании</w:t>
      </w:r>
      <w:r>
        <w:rPr>
          <w:spacing w:val="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деяний</w:t>
      </w:r>
      <w:r>
        <w:rPr>
          <w:spacing w:val="1"/>
        </w:rPr>
        <w:t xml:space="preserve"> </w:t>
      </w:r>
      <w:r>
        <w:t>склоняли</w:t>
      </w:r>
      <w:r>
        <w:rPr>
          <w:spacing w:val="-57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преступлений.</w:t>
      </w:r>
      <w:proofErr w:type="gramEnd"/>
    </w:p>
    <w:p w:rsidR="000F776E" w:rsidRDefault="00D6331E">
      <w:pPr>
        <w:pStyle w:val="a3"/>
        <w:spacing w:before="242" w:line="300" w:lineRule="auto"/>
        <w:ind w:left="270" w:right="106"/>
        <w:jc w:val="both"/>
      </w:pPr>
      <w:r>
        <w:t>В связи с этим Генеральная прокуратура Российской Федерации разъясняет, что правоохранительные органы России не</w:t>
      </w:r>
      <w:r>
        <w:rPr>
          <w:spacing w:val="1"/>
        </w:rPr>
        <w:t xml:space="preserve"> </w:t>
      </w:r>
      <w:r>
        <w:t>привлекают граждан к содействию посредством телефонных переговоров и не осуществляют борьбу с преступностью</w:t>
      </w:r>
      <w:r>
        <w:rPr>
          <w:spacing w:val="1"/>
        </w:rPr>
        <w:t xml:space="preserve"> </w:t>
      </w:r>
      <w:r>
        <w:t>противозаконными</w:t>
      </w:r>
      <w:r>
        <w:rPr>
          <w:spacing w:val="-2"/>
        </w:rPr>
        <w:t xml:space="preserve"> </w:t>
      </w:r>
      <w:r>
        <w:t>способами.</w:t>
      </w:r>
    </w:p>
    <w:p w:rsidR="000F776E" w:rsidRDefault="00D6331E">
      <w:pPr>
        <w:pStyle w:val="a3"/>
        <w:spacing w:before="240" w:line="300" w:lineRule="auto"/>
        <w:ind w:left="270" w:right="106"/>
        <w:jc w:val="both"/>
      </w:pPr>
      <w:r>
        <w:t>Любые телефонные звонки такого рода являются противоправными и направлены на вовлечение граждан в совершение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 что подобные деяния, связанные с совершением поджогов, подрывов, иным умышленным уничтожением и</w:t>
      </w:r>
      <w:r>
        <w:rPr>
          <w:spacing w:val="1"/>
        </w:rPr>
        <w:t xml:space="preserve"> </w:t>
      </w:r>
      <w:r>
        <w:t>повреждением объектов власти, могут быть расценены как террористический акт (статья 205 УК РФ) или диверсия (статья</w:t>
      </w:r>
      <w:r>
        <w:rPr>
          <w:spacing w:val="-57"/>
        </w:rPr>
        <w:t xml:space="preserve"> </w:t>
      </w:r>
      <w:r>
        <w:t>281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РФ).</w:t>
      </w:r>
    </w:p>
    <w:p w:rsidR="000F776E" w:rsidRDefault="000F776E">
      <w:pPr>
        <w:rPr>
          <w:sz w:val="27"/>
        </w:rPr>
        <w:sectPr w:rsidR="000F776E">
          <w:type w:val="continuous"/>
          <w:pgSz w:w="16860" w:h="23850"/>
          <w:pgMar w:top="1180" w:right="1520" w:bottom="280" w:left="760" w:header="720" w:footer="720" w:gutter="0"/>
          <w:cols w:space="720"/>
        </w:sectPr>
      </w:pPr>
    </w:p>
    <w:p w:rsidR="000F776E" w:rsidRDefault="000F776E">
      <w:pPr>
        <w:spacing w:before="72"/>
        <w:ind w:left="360"/>
        <w:rPr>
          <w:sz w:val="19"/>
        </w:rPr>
      </w:pPr>
    </w:p>
    <w:sectPr w:rsidR="000F776E" w:rsidSect="000F776E">
      <w:type w:val="continuous"/>
      <w:pgSz w:w="16860" w:h="23850"/>
      <w:pgMar w:top="1180" w:right="1520" w:bottom="280" w:left="760" w:header="720" w:footer="720" w:gutter="0"/>
      <w:cols w:num="2" w:space="720" w:equalWidth="0">
        <w:col w:w="6079" w:space="1456"/>
        <w:col w:w="70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776E"/>
    <w:rsid w:val="000F776E"/>
    <w:rsid w:val="008346DF"/>
    <w:rsid w:val="00D6331E"/>
    <w:rsid w:val="00FE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776E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7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776E"/>
    <w:rPr>
      <w:sz w:val="24"/>
      <w:szCs w:val="24"/>
    </w:rPr>
  </w:style>
  <w:style w:type="paragraph" w:styleId="a4">
    <w:name w:val="Title"/>
    <w:basedOn w:val="a"/>
    <w:uiPriority w:val="1"/>
    <w:qFormat/>
    <w:rsid w:val="000F776E"/>
    <w:pPr>
      <w:spacing w:before="92"/>
      <w:ind w:left="270" w:right="666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0F776E"/>
  </w:style>
  <w:style w:type="paragraph" w:customStyle="1" w:styleId="TableParagraph">
    <w:name w:val="Table Paragraph"/>
    <w:basedOn w:val="a"/>
    <w:uiPriority w:val="1"/>
    <w:qFormat/>
    <w:rsid w:val="000F776E"/>
  </w:style>
  <w:style w:type="paragraph" w:styleId="a6">
    <w:name w:val="Balloon Text"/>
    <w:basedOn w:val="a"/>
    <w:link w:val="a7"/>
    <w:uiPriority w:val="99"/>
    <w:semiHidden/>
    <w:unhideWhenUsed/>
    <w:rsid w:val="00D633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31E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</dc:creator>
  <cp:lastModifiedBy>4545</cp:lastModifiedBy>
  <cp:revision>2</cp:revision>
  <dcterms:created xsi:type="dcterms:W3CDTF">2023-08-30T07:56:00Z</dcterms:created>
  <dcterms:modified xsi:type="dcterms:W3CDTF">2023-08-30T07:56:00Z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Mozilla/5.0 (Windows NT 6.1; Win64; x64) AppleWebKit/537.36 (KHTML, like Gecko) Chrome/114.0.0.0 Safari/537.36</vt:lpwstr>
  </property>
  <property fmtid="{D5CDD505-2E9C-101B-9397-08002B2CF9AE}" pid="4" name="LastSaved">
    <vt:filetime>2023-08-30T00:00:00Z</vt:filetime>
  </property>
</Properties>
</file>